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940" w14:textId="77777777" w:rsidR="00E5498D" w:rsidRDefault="00E5498D"/>
    <w:p w14:paraId="65EBF4F8" w14:textId="77777777" w:rsidR="00271B85" w:rsidRPr="00271B85" w:rsidRDefault="00271B85">
      <w:pPr>
        <w:rPr>
          <w:rFonts w:ascii="Times" w:hAnsi="Times"/>
        </w:rPr>
      </w:pPr>
    </w:p>
    <w:p w14:paraId="5FCBA10A" w14:textId="77777777" w:rsidR="00CB5B50" w:rsidRPr="00CB5B50" w:rsidRDefault="00CB5B50" w:rsidP="00CB5B50">
      <w:pPr>
        <w:pStyle w:val="Titre1"/>
        <w:rPr>
          <w:lang w:val="en-GB"/>
        </w:rPr>
      </w:pPr>
      <w:r w:rsidRPr="00CB5B50">
        <w:rPr>
          <w:lang w:val="en-GB"/>
        </w:rPr>
        <w:t>For Your Eyes Only (FYEO)</w:t>
      </w:r>
    </w:p>
    <w:p w14:paraId="21EDEF6D" w14:textId="77777777" w:rsidR="00CB5B50" w:rsidRPr="00CB5B50" w:rsidRDefault="00CB5B50" w:rsidP="00CB5B50">
      <w:pPr>
        <w:rPr>
          <w:lang w:val="en-GB"/>
        </w:rPr>
      </w:pPr>
    </w:p>
    <w:p w14:paraId="4006E690" w14:textId="77777777" w:rsidR="00CB5B50" w:rsidRPr="000363F4" w:rsidRDefault="00CB5B50" w:rsidP="00CB5B50">
      <w:pPr>
        <w:rPr>
          <w:b/>
          <w:bCs/>
        </w:rPr>
      </w:pPr>
      <w:r w:rsidRPr="000363F4">
        <w:rPr>
          <w:b/>
          <w:bCs/>
        </w:rPr>
        <w:t>Analyse Interne du Dossier</w:t>
      </w:r>
    </w:p>
    <w:p w14:paraId="63C80477" w14:textId="77777777" w:rsidR="00CB5B50" w:rsidRPr="000363F4" w:rsidRDefault="00CB5B50" w:rsidP="00CB5B50">
      <w:r w:rsidRPr="000363F4">
        <w:t xml:space="preserve">Open Society </w:t>
      </w:r>
      <w:proofErr w:type="spellStart"/>
      <w:r w:rsidRPr="000363F4">
        <w:t>Foundations</w:t>
      </w:r>
      <w:proofErr w:type="spellEnd"/>
      <w:r w:rsidRPr="000363F4">
        <w:t xml:space="preserve"> considère le dossier de la proposition de directive sur l'utilisation de l'IA aux frontières comme une opportunité clé pour influencer les politiques européennes en matière de migration et de droits fondamentaux. Notre analyse interne met en évidence les domaines où nos arguments peuvent avoir le plus d'impact, notamment la protection des droits fondamentaux, la transparence et la participation de la société civile.</w:t>
      </w:r>
    </w:p>
    <w:p w14:paraId="0B60477D" w14:textId="77777777" w:rsidR="00CB5B50" w:rsidRDefault="00CB5B50" w:rsidP="00CB5B50">
      <w:r w:rsidRPr="000363F4">
        <w:t>Opportunités, Risques, Ligne Tactique</w:t>
      </w:r>
    </w:p>
    <w:p w14:paraId="07A33C5D" w14:textId="77777777" w:rsidR="00CB5B50" w:rsidRPr="000363F4" w:rsidRDefault="00CB5B50" w:rsidP="00CB5B50"/>
    <w:p w14:paraId="1C4F66DF" w14:textId="77777777" w:rsidR="00CB5B50" w:rsidRPr="000363F4" w:rsidRDefault="00CB5B50" w:rsidP="00CB5B50">
      <w:pPr>
        <w:rPr>
          <w:b/>
          <w:bCs/>
        </w:rPr>
      </w:pPr>
      <w:r w:rsidRPr="000363F4">
        <w:rPr>
          <w:b/>
          <w:bCs/>
        </w:rPr>
        <w:t>Opportunités :</w:t>
      </w:r>
    </w:p>
    <w:p w14:paraId="2D2A3D7F" w14:textId="77777777" w:rsidR="00CB5B50" w:rsidRPr="000363F4" w:rsidRDefault="00CB5B50" w:rsidP="00CB5B50">
      <w:r w:rsidRPr="000363F4">
        <w:t>Possibilité d'influencer la création de normes éthiques pour l'utilisation de l'IA aux frontières.</w:t>
      </w:r>
    </w:p>
    <w:p w14:paraId="48860BBA" w14:textId="77777777" w:rsidR="00CB5B50" w:rsidRDefault="00CB5B50" w:rsidP="00CB5B50">
      <w:r w:rsidRPr="000363F4">
        <w:t>Chance de promouvoir la transparence et la responsabilité dans les politiques migratoires.</w:t>
      </w:r>
    </w:p>
    <w:p w14:paraId="597CA933" w14:textId="77777777" w:rsidR="00CB5B50" w:rsidRPr="000363F4" w:rsidRDefault="00CB5B50" w:rsidP="00CB5B50"/>
    <w:p w14:paraId="1E73E012" w14:textId="77777777" w:rsidR="00CB5B50" w:rsidRPr="000363F4" w:rsidRDefault="00CB5B50" w:rsidP="00CB5B50">
      <w:pPr>
        <w:rPr>
          <w:b/>
          <w:bCs/>
        </w:rPr>
      </w:pPr>
      <w:r w:rsidRPr="000363F4">
        <w:rPr>
          <w:b/>
          <w:bCs/>
        </w:rPr>
        <w:t>Risques :</w:t>
      </w:r>
    </w:p>
    <w:p w14:paraId="5E67E482" w14:textId="77777777" w:rsidR="00CB5B50" w:rsidRPr="000363F4" w:rsidRDefault="00CB5B50" w:rsidP="00CB5B50">
      <w:r w:rsidRPr="000363F4">
        <w:t>Risque de voir la directive adopter des mesures excessivement restrictives sans garanties adéquates.</w:t>
      </w:r>
    </w:p>
    <w:p w14:paraId="52B6447D" w14:textId="77777777" w:rsidR="00CB5B50" w:rsidRDefault="00CB5B50" w:rsidP="00CB5B50">
      <w:r w:rsidRPr="000363F4">
        <w:t>Possibilité de rencontrer des oppositions de la part d'États membres favorables à des politiques migratoires plus strictes.</w:t>
      </w:r>
    </w:p>
    <w:p w14:paraId="356E5384" w14:textId="77777777" w:rsidR="00CB5B50" w:rsidRPr="000363F4" w:rsidRDefault="00CB5B50" w:rsidP="00CB5B50"/>
    <w:p w14:paraId="6486BC34" w14:textId="77777777" w:rsidR="00CB5B50" w:rsidRDefault="00CB5B50" w:rsidP="00CB5B50">
      <w:pPr>
        <w:rPr>
          <w:b/>
          <w:bCs/>
        </w:rPr>
      </w:pPr>
      <w:r w:rsidRPr="000363F4">
        <w:rPr>
          <w:b/>
          <w:bCs/>
        </w:rPr>
        <w:t>Ligne Tactique :</w:t>
      </w:r>
    </w:p>
    <w:p w14:paraId="1FEEFB26" w14:textId="77777777" w:rsidR="00CB5B50" w:rsidRPr="000363F4" w:rsidRDefault="00CB5B50" w:rsidP="00CB5B50">
      <w:pPr>
        <w:rPr>
          <w:b/>
          <w:bCs/>
        </w:rPr>
      </w:pPr>
    </w:p>
    <w:p w14:paraId="2E2595A1" w14:textId="77777777" w:rsidR="00CB5B50" w:rsidRPr="000363F4" w:rsidRDefault="00CB5B50" w:rsidP="00CB5B50">
      <w:r w:rsidRPr="000363F4">
        <w:t>Coopération étroite avec d'autres organisations et parties prenantes partageant des valeurs similaires.</w:t>
      </w:r>
    </w:p>
    <w:p w14:paraId="72EA1D7F" w14:textId="77777777" w:rsidR="00CB5B50" w:rsidRPr="000363F4" w:rsidRDefault="00CB5B50" w:rsidP="00CB5B50">
      <w:r w:rsidRPr="000363F4">
        <w:t>Plaidoyer actif pour des normes éthiques strictes et des mécanismes de surveillance robustes.</w:t>
      </w:r>
    </w:p>
    <w:p w14:paraId="1A7A9371" w14:textId="77777777" w:rsidR="00CB5B50" w:rsidRDefault="00CB5B50" w:rsidP="00CB5B50">
      <w:r w:rsidRPr="000363F4">
        <w:t>Engagement proactif avec les législateurs pour souligner l'importance de l'équilibre entre sécurité et respect des droits fondamentaux.</w:t>
      </w:r>
    </w:p>
    <w:p w14:paraId="6B7704BB" w14:textId="77777777" w:rsidR="00CB5B50" w:rsidRPr="000363F4" w:rsidRDefault="00CB5B50" w:rsidP="00CB5B50"/>
    <w:p w14:paraId="4FFD59FE" w14:textId="77777777" w:rsidR="00CB5B50" w:rsidRDefault="00CB5B50" w:rsidP="00CB5B50">
      <w:pPr>
        <w:rPr>
          <w:b/>
          <w:bCs/>
        </w:rPr>
      </w:pPr>
      <w:r w:rsidRPr="00060745">
        <w:rPr>
          <w:b/>
          <w:bCs/>
        </w:rPr>
        <w:t>Objectifs Réels de la Stratégie de Négociation</w:t>
      </w:r>
    </w:p>
    <w:p w14:paraId="45723A04" w14:textId="77777777" w:rsidR="00CB5B50" w:rsidRPr="00060745" w:rsidRDefault="00CB5B50" w:rsidP="00CB5B50">
      <w:pPr>
        <w:rPr>
          <w:b/>
          <w:bCs/>
        </w:rPr>
      </w:pPr>
    </w:p>
    <w:p w14:paraId="4A289600" w14:textId="77777777" w:rsidR="00CB5B50" w:rsidRPr="000363F4" w:rsidRDefault="00CB5B50" w:rsidP="00CB5B50">
      <w:pPr>
        <w:pStyle w:val="Paragraphedeliste"/>
        <w:numPr>
          <w:ilvl w:val="0"/>
          <w:numId w:val="1"/>
        </w:numPr>
      </w:pPr>
      <w:r w:rsidRPr="000363F4">
        <w:t>Obtenir un langage plus ferme sur la protection des droits fondamentaux (paragraphe 6) :</w:t>
      </w:r>
    </w:p>
    <w:p w14:paraId="120F6315" w14:textId="77777777" w:rsidR="00CB5B50" w:rsidRDefault="00CB5B50" w:rsidP="00CB5B50">
      <w:r w:rsidRPr="000363F4">
        <w:t>Objectif de modifier le libellé pour garantir que les mesures exceptionnelles de retour respectent pleinement les droits fondamentaux, minimisant le risque d'interprétation excessive.</w:t>
      </w:r>
    </w:p>
    <w:p w14:paraId="7358D160" w14:textId="77777777" w:rsidR="00CB5B50" w:rsidRPr="000363F4" w:rsidRDefault="00CB5B50" w:rsidP="00CB5B50"/>
    <w:p w14:paraId="31654B48" w14:textId="77777777" w:rsidR="00CB5B50" w:rsidRPr="000363F4" w:rsidRDefault="00CB5B50" w:rsidP="00CB5B50">
      <w:pPr>
        <w:pStyle w:val="Paragraphedeliste"/>
        <w:numPr>
          <w:ilvl w:val="0"/>
          <w:numId w:val="1"/>
        </w:numPr>
      </w:pPr>
      <w:r w:rsidRPr="000363F4">
        <w:t>Renforcer les mécanismes de transparence (paragraphe 34) :</w:t>
      </w:r>
    </w:p>
    <w:p w14:paraId="1605E94B" w14:textId="77777777" w:rsidR="00CB5B50" w:rsidRDefault="00CB5B50" w:rsidP="00CB5B50">
      <w:r w:rsidRPr="000363F4">
        <w:t>Objectif de renforcer les obligations de transparence, assurant ainsi que les individus sont pleinement informés de l'utilisation de l'IA aux frontières et de la collecte de leurs données.</w:t>
      </w:r>
    </w:p>
    <w:p w14:paraId="7BD39771" w14:textId="77777777" w:rsidR="00CB5B50" w:rsidRPr="000363F4" w:rsidRDefault="00CB5B50" w:rsidP="00CB5B50"/>
    <w:p w14:paraId="7F65C8E7" w14:textId="77777777" w:rsidR="00CB5B50" w:rsidRPr="000363F4" w:rsidRDefault="00CB5B50" w:rsidP="00CB5B50">
      <w:pPr>
        <w:pStyle w:val="Paragraphedeliste"/>
        <w:numPr>
          <w:ilvl w:val="0"/>
          <w:numId w:val="1"/>
        </w:numPr>
      </w:pPr>
      <w:r w:rsidRPr="000363F4">
        <w:t>Promouvoir une coopération internationale (paragraphe 2) :</w:t>
      </w:r>
    </w:p>
    <w:p w14:paraId="7ED933AF" w14:textId="77777777" w:rsidR="00CB5B50" w:rsidRDefault="00CB5B50" w:rsidP="00CB5B50">
      <w:r w:rsidRPr="000363F4">
        <w:lastRenderedPageBreak/>
        <w:t>Objectif de plaider en faveur d'une coopération renforcée entre les États membres pour une approche globale et cohérente des politiques aux frontières, minimisant ainsi les risques de politiques fragmentées et contradictoires.</w:t>
      </w:r>
    </w:p>
    <w:p w14:paraId="6DA0C4D2" w14:textId="77777777" w:rsidR="00CB5B50" w:rsidRPr="000363F4" w:rsidRDefault="00CB5B50" w:rsidP="00CB5B50"/>
    <w:p w14:paraId="46FBB7F7" w14:textId="2E359336" w:rsidR="00271B85" w:rsidRPr="00271B85" w:rsidRDefault="00CB5B50">
      <w:pPr>
        <w:rPr>
          <w:rFonts w:ascii="Times" w:hAnsi="Times"/>
        </w:rPr>
      </w:pPr>
      <w:r w:rsidRPr="000363F4">
        <w:t xml:space="preserve">Ces trois points prioritaires guideront notre équipe dans les négociations, visant à maximiser l'impact d'Open Society </w:t>
      </w:r>
      <w:proofErr w:type="spellStart"/>
      <w:r w:rsidRPr="000363F4">
        <w:t>Foundations</w:t>
      </w:r>
      <w:proofErr w:type="spellEnd"/>
      <w:r w:rsidRPr="000363F4">
        <w:t xml:space="preserve"> dans l'élaboration de politiques migratoires éthiques et respectueuses des droits fondamentaux au sein de l'Union européenne.</w:t>
      </w:r>
    </w:p>
    <w:sectPr w:rsidR="00271B85" w:rsidRPr="00271B85" w:rsidSect="00641355">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57E4" w14:textId="77777777" w:rsidR="009651CC" w:rsidRDefault="009651CC" w:rsidP="00602FD4">
      <w:r>
        <w:separator/>
      </w:r>
    </w:p>
  </w:endnote>
  <w:endnote w:type="continuationSeparator" w:id="0">
    <w:p w14:paraId="504631B0" w14:textId="77777777" w:rsidR="009651CC" w:rsidRDefault="009651CC" w:rsidP="006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460D" w14:textId="77777777" w:rsidR="004778EE" w:rsidRDefault="004778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40EC" w14:textId="77777777" w:rsidR="00602FD4" w:rsidRDefault="00271B85">
    <w:pPr>
      <w:pStyle w:val="Pieddepage"/>
    </w:pPr>
    <w:r>
      <w:rPr>
        <w:noProof/>
      </w:rPr>
      <w:drawing>
        <wp:anchor distT="0" distB="0" distL="114300" distR="114300" simplePos="0" relativeHeight="251659264" behindDoc="0" locked="0" layoutInCell="1" allowOverlap="1" wp14:anchorId="4A9DA6CB" wp14:editId="1D149157">
          <wp:simplePos x="0" y="0"/>
          <wp:positionH relativeFrom="column">
            <wp:posOffset>1990892</wp:posOffset>
          </wp:positionH>
          <wp:positionV relativeFrom="paragraph">
            <wp:posOffset>-2332956</wp:posOffset>
          </wp:positionV>
          <wp:extent cx="5279281" cy="3490819"/>
          <wp:effectExtent l="0" t="0" r="444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artisticPaintStrokes/>
                            </a14:imgEffect>
                            <a14:imgEffect>
                              <a14:sharpenSoften amount="-8900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5279281" cy="349081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8515" w14:textId="77777777" w:rsidR="004778EE" w:rsidRDefault="004778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9C5D" w14:textId="77777777" w:rsidR="009651CC" w:rsidRDefault="009651CC" w:rsidP="00602FD4">
      <w:r>
        <w:separator/>
      </w:r>
    </w:p>
  </w:footnote>
  <w:footnote w:type="continuationSeparator" w:id="0">
    <w:p w14:paraId="2DFA011A" w14:textId="77777777" w:rsidR="009651CC" w:rsidRDefault="009651CC" w:rsidP="0060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DDA1" w14:textId="77777777" w:rsidR="004778EE" w:rsidRDefault="004778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005E" w14:textId="77777777" w:rsidR="00602FD4" w:rsidRPr="004778EE" w:rsidRDefault="00602FD4" w:rsidP="004778EE">
    <w:pPr>
      <w:pStyle w:val="En-tte"/>
      <w:pBdr>
        <w:bottom w:val="single" w:sz="24" w:space="1" w:color="FFC000"/>
      </w:pBdr>
      <w:tabs>
        <w:tab w:val="clear" w:pos="9072"/>
        <w:tab w:val="right" w:pos="9066"/>
      </w:tabs>
      <w:ind w:left="-1417"/>
      <w:jc w:val="right"/>
      <w:rPr>
        <w:rFonts w:ascii="Bebas Neue" w:hAnsi="Bebas Neue"/>
        <w:b/>
        <w:color w:val="2E74B5" w:themeColor="accent5" w:themeShade="BF"/>
        <w:sz w:val="32"/>
        <w:szCs w:val="32"/>
      </w:rPr>
    </w:pPr>
    <w:r w:rsidRPr="004778EE">
      <w:rPr>
        <w:rFonts w:ascii="Bebas Neue" w:hAnsi="Bebas Neue"/>
        <w:b/>
        <w:color w:val="2E74B5" w:themeColor="accent5" w:themeShade="BF"/>
        <w:sz w:val="32"/>
        <w:szCs w:val="32"/>
      </w:rPr>
      <w:t xml:space="preserve">BWS · </w:t>
    </w:r>
    <w:r w:rsidR="004778EE" w:rsidRPr="004778EE">
      <w:rPr>
        <w:rFonts w:ascii="Bebas Neue" w:hAnsi="Bebas Neue"/>
        <w:b/>
        <w:color w:val="2E74B5" w:themeColor="accent5" w:themeShade="BF"/>
        <w:sz w:val="32"/>
        <w:szCs w:val="32"/>
      </w:rPr>
      <w:t>6</w:t>
    </w:r>
    <w:r w:rsidRPr="004778EE">
      <w:rPr>
        <w:rFonts w:ascii="Bebas Neue" w:hAnsi="Bebas Neue"/>
        <w:b/>
        <w:color w:val="2E74B5" w:themeColor="accent5" w:themeShade="BF"/>
        <w:sz w:val="32"/>
        <w:szCs w:val="32"/>
        <w:vertAlign w:val="superscript"/>
      </w:rPr>
      <w:t>e</w:t>
    </w:r>
    <w:r w:rsidRPr="004778EE">
      <w:rPr>
        <w:rFonts w:ascii="Bebas Neue" w:hAnsi="Bebas Neue"/>
        <w:b/>
        <w:color w:val="2E74B5" w:themeColor="accent5" w:themeShade="BF"/>
        <w:sz w:val="32"/>
        <w:szCs w:val="32"/>
      </w:rPr>
      <w:t xml:space="preserve"> édition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2E0D" w14:textId="77777777" w:rsidR="004778EE" w:rsidRDefault="004778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4267"/>
    <w:multiLevelType w:val="hybridMultilevel"/>
    <w:tmpl w:val="E03E6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89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4"/>
    <w:rsid w:val="000E75F9"/>
    <w:rsid w:val="001D77E7"/>
    <w:rsid w:val="00271B85"/>
    <w:rsid w:val="002909EC"/>
    <w:rsid w:val="0038240A"/>
    <w:rsid w:val="004778EE"/>
    <w:rsid w:val="00602FD4"/>
    <w:rsid w:val="00641355"/>
    <w:rsid w:val="009204F9"/>
    <w:rsid w:val="009651CC"/>
    <w:rsid w:val="00970FD6"/>
    <w:rsid w:val="00B845E6"/>
    <w:rsid w:val="00CB5B50"/>
    <w:rsid w:val="00DC07EF"/>
    <w:rsid w:val="00E26008"/>
    <w:rsid w:val="00E54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C2ED"/>
  <w15:chartTrackingRefBased/>
  <w15:docId w15:val="{E6CEC82A-E7A6-0748-B6C1-F841FA0B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B5B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2FD4"/>
    <w:pPr>
      <w:tabs>
        <w:tab w:val="center" w:pos="4536"/>
        <w:tab w:val="right" w:pos="9072"/>
      </w:tabs>
    </w:pPr>
  </w:style>
  <w:style w:type="character" w:customStyle="1" w:styleId="En-tteCar">
    <w:name w:val="En-tête Car"/>
    <w:basedOn w:val="Policepardfaut"/>
    <w:link w:val="En-tte"/>
    <w:uiPriority w:val="99"/>
    <w:rsid w:val="00602FD4"/>
  </w:style>
  <w:style w:type="paragraph" w:styleId="Pieddepage">
    <w:name w:val="footer"/>
    <w:basedOn w:val="Normal"/>
    <w:link w:val="PieddepageCar"/>
    <w:uiPriority w:val="99"/>
    <w:unhideWhenUsed/>
    <w:rsid w:val="00602FD4"/>
    <w:pPr>
      <w:tabs>
        <w:tab w:val="center" w:pos="4536"/>
        <w:tab w:val="right" w:pos="9072"/>
      </w:tabs>
    </w:pPr>
  </w:style>
  <w:style w:type="character" w:customStyle="1" w:styleId="PieddepageCar">
    <w:name w:val="Pied de page Car"/>
    <w:basedOn w:val="Policepardfaut"/>
    <w:link w:val="Pieddepage"/>
    <w:uiPriority w:val="99"/>
    <w:rsid w:val="00602FD4"/>
  </w:style>
  <w:style w:type="character" w:customStyle="1" w:styleId="Titre1Car">
    <w:name w:val="Titre 1 Car"/>
    <w:basedOn w:val="Policepardfaut"/>
    <w:link w:val="Titre1"/>
    <w:uiPriority w:val="9"/>
    <w:rsid w:val="00CB5B5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B5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Gabriel Masson</cp:lastModifiedBy>
  <cp:revision>2</cp:revision>
  <dcterms:created xsi:type="dcterms:W3CDTF">2023-11-21T14:09:00Z</dcterms:created>
  <dcterms:modified xsi:type="dcterms:W3CDTF">2023-11-21T14:09:00Z</dcterms:modified>
</cp:coreProperties>
</file>