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87"/>
        <w:tblW w:w="0" w:type="auto"/>
        <w:tblLook w:val="04A0" w:firstRow="1" w:lastRow="0" w:firstColumn="1" w:lastColumn="0" w:noHBand="0" w:noVBand="1"/>
      </w:tblPr>
      <w:tblGrid>
        <w:gridCol w:w="9056"/>
      </w:tblGrid>
      <w:tr w:rsidR="00663F29" w:rsidRPr="00B646A6" w14:paraId="2CECB912" w14:textId="77777777" w:rsidTr="00A77047">
        <w:trPr>
          <w:trHeight w:val="416"/>
        </w:trPr>
        <w:tc>
          <w:tcPr>
            <w:tcW w:w="9056" w:type="dxa"/>
            <w:vAlign w:val="center"/>
          </w:tcPr>
          <w:p w14:paraId="6570A166" w14:textId="24D7E893" w:rsidR="00663F29" w:rsidRPr="00B646A6" w:rsidRDefault="00663F29" w:rsidP="00A77047">
            <w:pPr>
              <w:spacing w:after="0"/>
              <w:jc w:val="center"/>
              <w:rPr>
                <w:rFonts w:ascii="Times" w:hAnsi="Times"/>
                <w:b/>
                <w:bCs/>
              </w:rPr>
            </w:pPr>
            <w:r w:rsidRPr="00B646A6">
              <w:rPr>
                <w:rFonts w:ascii="Times" w:hAnsi="Times"/>
                <w:b/>
                <w:bCs/>
              </w:rPr>
              <w:t>Position Paper de la députée européenne Fabienne KELLER</w:t>
            </w:r>
            <w:r>
              <w:rPr>
                <w:rFonts w:ascii="Times" w:hAnsi="Times"/>
                <w:b/>
                <w:bCs/>
              </w:rPr>
              <w:t xml:space="preserve"> (</w:t>
            </w:r>
            <w:r w:rsidR="00A77047">
              <w:rPr>
                <w:rFonts w:ascii="Times" w:hAnsi="Times"/>
                <w:b/>
                <w:bCs/>
              </w:rPr>
              <w:t xml:space="preserve">groupe </w:t>
            </w:r>
            <w:r>
              <w:rPr>
                <w:rFonts w:ascii="Times" w:hAnsi="Times"/>
                <w:b/>
                <w:bCs/>
              </w:rPr>
              <w:t>Renew Europe)</w:t>
            </w:r>
          </w:p>
        </w:tc>
      </w:tr>
    </w:tbl>
    <w:p w14:paraId="007F2913" w14:textId="57CBEDFA" w:rsidR="00663F29" w:rsidRPr="00740F54" w:rsidRDefault="00663F29" w:rsidP="00740F54">
      <w:pPr>
        <w:spacing w:before="200" w:after="200"/>
      </w:pPr>
      <w:r w:rsidRPr="001B469B">
        <w:rPr>
          <w:rFonts w:ascii="Times" w:hAnsi="Times"/>
          <w:noProof/>
          <w:color w:val="00A1FF"/>
        </w:rPr>
        <w:drawing>
          <wp:anchor distT="0" distB="0" distL="114300" distR="114300" simplePos="0" relativeHeight="251659264" behindDoc="0" locked="0" layoutInCell="1" allowOverlap="1" wp14:anchorId="64E325E7" wp14:editId="6BD1FC51">
            <wp:simplePos x="0" y="0"/>
            <wp:positionH relativeFrom="column">
              <wp:posOffset>-205415</wp:posOffset>
            </wp:positionH>
            <wp:positionV relativeFrom="paragraph">
              <wp:posOffset>-555571</wp:posOffset>
            </wp:positionV>
            <wp:extent cx="1348966" cy="638120"/>
            <wp:effectExtent l="0" t="0" r="0" b="0"/>
            <wp:wrapNone/>
            <wp:docPr id="910185347" name="Picture 1"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185347" name="Picture 1" descr="Blue text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8966" cy="638120"/>
                    </a:xfrm>
                    <a:prstGeom prst="rect">
                      <a:avLst/>
                    </a:prstGeom>
                  </pic:spPr>
                </pic:pic>
              </a:graphicData>
            </a:graphic>
            <wp14:sizeRelH relativeFrom="margin">
              <wp14:pctWidth>0</wp14:pctWidth>
            </wp14:sizeRelH>
            <wp14:sizeRelV relativeFrom="margin">
              <wp14:pctHeight>0</wp14:pctHeight>
            </wp14:sizeRelV>
          </wp:anchor>
        </w:drawing>
      </w:r>
    </w:p>
    <w:p w14:paraId="0D125D3A" w14:textId="77777777" w:rsidR="005C604E" w:rsidRDefault="005C604E" w:rsidP="00AB2C02">
      <w:pPr>
        <w:spacing w:after="120" w:line="276" w:lineRule="auto"/>
        <w:ind w:firstLine="708"/>
        <w:jc w:val="both"/>
        <w:rPr>
          <w:rFonts w:ascii="Times" w:hAnsi="Times"/>
          <w:sz w:val="22"/>
        </w:rPr>
      </w:pPr>
    </w:p>
    <w:p w14:paraId="7007D4EB" w14:textId="69CFF082" w:rsidR="001B469B" w:rsidRPr="00663F29" w:rsidRDefault="001B469B" w:rsidP="00984325">
      <w:pPr>
        <w:spacing w:after="0" w:line="264" w:lineRule="auto"/>
        <w:ind w:firstLine="708"/>
        <w:jc w:val="both"/>
        <w:rPr>
          <w:sz w:val="20"/>
          <w:szCs w:val="20"/>
        </w:rPr>
      </w:pPr>
      <w:r w:rsidRPr="00663F29">
        <w:rPr>
          <w:rFonts w:ascii="Times" w:hAnsi="Times"/>
          <w:sz w:val="22"/>
        </w:rPr>
        <w:t>Dans le cadre d</w:t>
      </w:r>
      <w:r w:rsidR="00766E19">
        <w:rPr>
          <w:rFonts w:ascii="Times" w:hAnsi="Times"/>
          <w:sz w:val="22"/>
        </w:rPr>
        <w:t>u</w:t>
      </w:r>
      <w:r w:rsidRPr="00663F29">
        <w:rPr>
          <w:rFonts w:ascii="Times" w:hAnsi="Times"/>
          <w:sz w:val="22"/>
        </w:rPr>
        <w:t xml:space="preserve"> nouveau Pacte sur l’asile et la migration, la Commission européenne a publié le 6 novembre dernier sa proposition de directive dite « retour ». Je souhaite dans un premier temps remercier la Commission pour cette proposition et souligner </w:t>
      </w:r>
      <w:r w:rsidRPr="00663F29">
        <w:rPr>
          <w:rFonts w:ascii="Times" w:hAnsi="Times"/>
          <w:b/>
          <w:bCs/>
          <w:sz w:val="22"/>
        </w:rPr>
        <w:t>l’importance de ce texte et de sa nature</w:t>
      </w:r>
      <w:r w:rsidRPr="00663F29">
        <w:rPr>
          <w:rFonts w:ascii="Times" w:hAnsi="Times"/>
          <w:sz w:val="22"/>
        </w:rPr>
        <w:t xml:space="preserve">, applicable directement dans tous les États Membres, qui assure ainsi l’harmonisation de la législation européenne sur le sujet. La directive « retour » du Pacte asile et migration sera déterminante : non seulement pour le </w:t>
      </w:r>
      <w:r w:rsidRPr="00663F29">
        <w:rPr>
          <w:rFonts w:ascii="Times" w:hAnsi="Times"/>
          <w:b/>
          <w:bCs/>
          <w:sz w:val="22"/>
        </w:rPr>
        <w:t>futur l’Union Européenne</w:t>
      </w:r>
      <w:r w:rsidRPr="00663F29">
        <w:rPr>
          <w:rFonts w:ascii="Times" w:hAnsi="Times"/>
          <w:sz w:val="22"/>
        </w:rPr>
        <w:t xml:space="preserve"> et de ses 448 millions de citoyens</w:t>
      </w:r>
      <w:r w:rsidRPr="00663F29">
        <w:rPr>
          <w:rStyle w:val="FootnoteReference"/>
          <w:rFonts w:ascii="Times" w:hAnsi="Times"/>
          <w:sz w:val="22"/>
        </w:rPr>
        <w:footnoteReference w:id="1"/>
      </w:r>
      <w:r w:rsidRPr="00663F29">
        <w:rPr>
          <w:rFonts w:ascii="Times" w:hAnsi="Times"/>
          <w:sz w:val="22"/>
        </w:rPr>
        <w:t xml:space="preserve">, mais également pour </w:t>
      </w:r>
      <w:r w:rsidRPr="00663F29">
        <w:rPr>
          <w:rFonts w:ascii="Times" w:hAnsi="Times"/>
          <w:b/>
          <w:bCs/>
          <w:sz w:val="22"/>
        </w:rPr>
        <w:t>tous les ressortissants de pays tiers</w:t>
      </w:r>
      <w:r w:rsidRPr="00663F29">
        <w:rPr>
          <w:rFonts w:ascii="Times" w:hAnsi="Times"/>
          <w:sz w:val="22"/>
        </w:rPr>
        <w:t xml:space="preserve"> qui cherchent à franchir nos frontières pour des raisons légitimes, complexes et variées. De même, j’ai </w:t>
      </w:r>
      <w:r w:rsidR="00B71843" w:rsidRPr="00663F29">
        <w:rPr>
          <w:rFonts w:ascii="Times" w:hAnsi="Times"/>
          <w:sz w:val="22"/>
        </w:rPr>
        <w:t>l’</w:t>
      </w:r>
      <w:r w:rsidRPr="00663F29">
        <w:rPr>
          <w:rFonts w:ascii="Times" w:hAnsi="Times"/>
          <w:sz w:val="22"/>
        </w:rPr>
        <w:t>espoir que ce Pacte permette de réduire le nombre de vies perdues à essayer : depuis 2014, plus de 28 000 migrants ont disparus ou sont décédés en Méditerranée</w:t>
      </w:r>
      <w:r w:rsidRPr="00663F29">
        <w:rPr>
          <w:rStyle w:val="FootnoteReference"/>
          <w:rFonts w:ascii="Times" w:hAnsi="Times"/>
          <w:sz w:val="22"/>
        </w:rPr>
        <w:footnoteReference w:id="2"/>
      </w:r>
      <w:r w:rsidRPr="00663F29">
        <w:rPr>
          <w:rFonts w:ascii="Times" w:hAnsi="Times"/>
          <w:sz w:val="22"/>
        </w:rPr>
        <w:t>, et ce chiffre continu</w:t>
      </w:r>
      <w:r w:rsidR="00FC1707" w:rsidRPr="00663F29">
        <w:rPr>
          <w:rFonts w:ascii="Times" w:hAnsi="Times"/>
          <w:sz w:val="22"/>
        </w:rPr>
        <w:t>e</w:t>
      </w:r>
      <w:r w:rsidRPr="00663F29">
        <w:rPr>
          <w:rFonts w:ascii="Times" w:hAnsi="Times"/>
          <w:sz w:val="22"/>
        </w:rPr>
        <w:t xml:space="preserve"> d’augmenter drastiquement chaque jour. Ainsi, le groupe Renew Europe et moi-même nous engageons à mener à bien ce projet ambitieux, afin qu’il représente au mieux les intérêts des citoyens européens, tout en respectant les principes fondamentaux des droits de l’Homme. </w:t>
      </w:r>
    </w:p>
    <w:p w14:paraId="77802069" w14:textId="31700C86" w:rsidR="001B469B" w:rsidRPr="00663F29" w:rsidRDefault="001B469B" w:rsidP="00984325">
      <w:pPr>
        <w:spacing w:after="0" w:line="264" w:lineRule="auto"/>
        <w:jc w:val="both"/>
        <w:rPr>
          <w:rFonts w:ascii="Times" w:hAnsi="Times"/>
          <w:sz w:val="22"/>
        </w:rPr>
      </w:pPr>
    </w:p>
    <w:p w14:paraId="096846EC" w14:textId="26F29ABF" w:rsidR="001B469B" w:rsidRPr="008F0B1F" w:rsidRDefault="001B469B" w:rsidP="00984325">
      <w:pPr>
        <w:pStyle w:val="ListParagraph"/>
        <w:numPr>
          <w:ilvl w:val="0"/>
          <w:numId w:val="1"/>
        </w:numPr>
        <w:spacing w:after="0" w:line="264" w:lineRule="auto"/>
        <w:rPr>
          <w:rFonts w:ascii="Times" w:hAnsi="Times"/>
          <w:b/>
          <w:bCs/>
          <w:color w:val="1E5E9F" w:themeColor="accent3" w:themeShade="BF"/>
          <w:sz w:val="22"/>
        </w:rPr>
      </w:pPr>
      <w:r w:rsidRPr="008F0B1F">
        <w:rPr>
          <w:rFonts w:ascii="Times" w:hAnsi="Times"/>
          <w:b/>
          <w:bCs/>
          <w:color w:val="1E5E9F" w:themeColor="accent3" w:themeShade="BF"/>
          <w:sz w:val="22"/>
        </w:rPr>
        <w:t>Renew Europe : un acteur au service d’une meilleure gestion de la migration en Europe</w:t>
      </w:r>
    </w:p>
    <w:p w14:paraId="00757912" w14:textId="6C396B10" w:rsidR="001B469B" w:rsidRPr="00663F29" w:rsidRDefault="001B469B" w:rsidP="00984325">
      <w:pPr>
        <w:spacing w:after="0" w:line="264" w:lineRule="auto"/>
        <w:jc w:val="both"/>
        <w:rPr>
          <w:rFonts w:ascii="Times" w:hAnsi="Times"/>
          <w:color w:val="00A1FF"/>
          <w:sz w:val="22"/>
        </w:rPr>
      </w:pPr>
    </w:p>
    <w:p w14:paraId="0B25A6E6" w14:textId="7C54A3E3" w:rsidR="006E37A8" w:rsidRPr="00663F29" w:rsidRDefault="001B469B" w:rsidP="00984325">
      <w:pPr>
        <w:spacing w:after="0" w:line="264" w:lineRule="auto"/>
        <w:ind w:firstLine="360"/>
        <w:jc w:val="both"/>
        <w:rPr>
          <w:rFonts w:ascii="Times" w:hAnsi="Times"/>
          <w:sz w:val="22"/>
        </w:rPr>
      </w:pPr>
      <w:r w:rsidRPr="00663F29">
        <w:rPr>
          <w:rFonts w:ascii="Times" w:hAnsi="Times"/>
          <w:sz w:val="22"/>
        </w:rPr>
        <w:t xml:space="preserve">En tant que </w:t>
      </w:r>
      <w:r w:rsidRPr="00663F29">
        <w:rPr>
          <w:rFonts w:ascii="Times" w:hAnsi="Times"/>
          <w:b/>
          <w:bCs/>
          <w:sz w:val="22"/>
        </w:rPr>
        <w:t>groupe centriste pro-européen</w:t>
      </w:r>
      <w:r w:rsidRPr="00663F29">
        <w:rPr>
          <w:rFonts w:ascii="Times" w:hAnsi="Times"/>
          <w:sz w:val="22"/>
        </w:rPr>
        <w:t xml:space="preserve">, Renew Europe s’affirme comme une alternative constructive aux groupes </w:t>
      </w:r>
      <w:r w:rsidR="00C75CAE" w:rsidRPr="00663F29">
        <w:rPr>
          <w:rFonts w:ascii="Times" w:hAnsi="Times"/>
          <w:sz w:val="22"/>
        </w:rPr>
        <w:t>p</w:t>
      </w:r>
      <w:r w:rsidRPr="00663F29">
        <w:rPr>
          <w:rFonts w:ascii="Times" w:hAnsi="Times"/>
          <w:sz w:val="22"/>
        </w:rPr>
        <w:t xml:space="preserve">olitiques des extrêmes ou au populisme, et souhaite apporter des </w:t>
      </w:r>
      <w:r w:rsidRPr="00663F29">
        <w:rPr>
          <w:rFonts w:ascii="Times" w:hAnsi="Times"/>
          <w:b/>
          <w:bCs/>
          <w:sz w:val="22"/>
        </w:rPr>
        <w:t>réponses réalistes aux enjeux de la migration</w:t>
      </w:r>
      <w:r w:rsidRPr="00663F29">
        <w:rPr>
          <w:rFonts w:ascii="Times" w:hAnsi="Times"/>
          <w:sz w:val="22"/>
        </w:rPr>
        <w:t xml:space="preserve"> </w:t>
      </w:r>
      <w:r w:rsidRPr="00663F29">
        <w:rPr>
          <w:rFonts w:ascii="Times" w:hAnsi="Times"/>
          <w:b/>
          <w:bCs/>
          <w:sz w:val="22"/>
        </w:rPr>
        <w:t>en Europe</w:t>
      </w:r>
      <w:r w:rsidRPr="00663F29">
        <w:rPr>
          <w:rStyle w:val="FootnoteReference"/>
          <w:rFonts w:ascii="Times" w:hAnsi="Times"/>
          <w:sz w:val="22"/>
        </w:rPr>
        <w:footnoteReference w:id="3"/>
      </w:r>
      <w:r w:rsidRPr="00663F29">
        <w:rPr>
          <w:rFonts w:ascii="Times" w:hAnsi="Times"/>
          <w:sz w:val="22"/>
        </w:rPr>
        <w:t xml:space="preserve">. L’échiquier politique européen étant fragmenté, il peut être tentant de se rabattre vers ceux qui crient le plus fort. Cependant, ces groupes ne sont généralement pas ceux capables d'apporter des solutions concrètes à ces défis, ni ceux qui réaliseront l'impossible, malgré ce qu’ils ont tendance à prétendre. </w:t>
      </w:r>
    </w:p>
    <w:p w14:paraId="15BC613E" w14:textId="3195EACF" w:rsidR="001B469B" w:rsidRPr="00663F29" w:rsidRDefault="001B469B" w:rsidP="004602F7">
      <w:pPr>
        <w:spacing w:before="120" w:after="0" w:line="264" w:lineRule="auto"/>
        <w:ind w:firstLine="360"/>
        <w:jc w:val="both"/>
        <w:rPr>
          <w:rFonts w:ascii="Times New Roman" w:hAnsi="Times New Roman" w:cs="Times New Roman"/>
          <w:sz w:val="22"/>
        </w:rPr>
      </w:pPr>
      <w:r w:rsidRPr="00663F29">
        <w:rPr>
          <w:rFonts w:ascii="Times" w:hAnsi="Times"/>
          <w:sz w:val="22"/>
        </w:rPr>
        <w:t xml:space="preserve">Ainsi, le groupe Renew Europe, qui compte </w:t>
      </w:r>
      <w:r w:rsidRPr="00663F29">
        <w:rPr>
          <w:rFonts w:ascii="Times" w:hAnsi="Times"/>
          <w:b/>
          <w:bCs/>
          <w:sz w:val="22"/>
        </w:rPr>
        <w:t>103 députés et qui représente la 3</w:t>
      </w:r>
      <w:r w:rsidRPr="00663F29">
        <w:rPr>
          <w:rFonts w:ascii="Times" w:hAnsi="Times"/>
          <w:b/>
          <w:bCs/>
          <w:sz w:val="22"/>
          <w:vertAlign w:val="superscript"/>
        </w:rPr>
        <w:t>ème</w:t>
      </w:r>
      <w:r w:rsidRPr="00663F29">
        <w:rPr>
          <w:rFonts w:ascii="Times" w:hAnsi="Times"/>
          <w:b/>
          <w:bCs/>
          <w:sz w:val="22"/>
        </w:rPr>
        <w:t xml:space="preserve"> force politique du parlement</w:t>
      </w:r>
      <w:r w:rsidRPr="00663F29">
        <w:rPr>
          <w:rFonts w:ascii="Times" w:hAnsi="Times"/>
          <w:sz w:val="22"/>
        </w:rPr>
        <w:t xml:space="preserve">, est fier de porter ce projet aux côtés de tous les acteurs pro-européens. Les valeurs de Renew Europe constituent sa force au sein du Parlement : elles ancrent ses actions dans une </w:t>
      </w:r>
      <w:r w:rsidRPr="00663F29">
        <w:rPr>
          <w:rFonts w:ascii="Times" w:hAnsi="Times"/>
          <w:b/>
          <w:bCs/>
          <w:sz w:val="22"/>
        </w:rPr>
        <w:t>vision politique cohérente et éthique</w:t>
      </w:r>
      <w:r w:rsidRPr="00663F29">
        <w:rPr>
          <w:rFonts w:ascii="Times" w:hAnsi="Times"/>
          <w:sz w:val="22"/>
        </w:rPr>
        <w:t xml:space="preserve">, tout en démontrant un engagement constant envers les principes qu'il défend. Les relations privilégiées du groupe avec la présidente de la Commission Européenne, les Présidents des Commissions LIBE et DROI, et avec de nombreux membres des groupes politiques S&amp;D et PPE témoignent de son importance </w:t>
      </w:r>
      <w:r w:rsidR="000D036D" w:rsidRPr="00663F29">
        <w:rPr>
          <w:rFonts w:ascii="Times" w:hAnsi="Times"/>
          <w:sz w:val="22"/>
        </w:rPr>
        <w:t>au sein des</w:t>
      </w:r>
      <w:r w:rsidRPr="00663F29">
        <w:rPr>
          <w:rFonts w:ascii="Times" w:hAnsi="Times"/>
          <w:sz w:val="22"/>
        </w:rPr>
        <w:t xml:space="preserve"> négociations de la directive « retour ». De plus, notre position centrale, à cheval entre deux groupes plus radicaux, nous confère le </w:t>
      </w:r>
      <w:r w:rsidRPr="00663F29">
        <w:rPr>
          <w:rFonts w:ascii="Times" w:hAnsi="Times"/>
          <w:b/>
          <w:bCs/>
          <w:sz w:val="22"/>
        </w:rPr>
        <w:t>rôle de point de bascule</w:t>
      </w:r>
      <w:r w:rsidRPr="00663F29">
        <w:rPr>
          <w:rFonts w:ascii="Times" w:hAnsi="Times"/>
          <w:sz w:val="22"/>
        </w:rPr>
        <w:t xml:space="preserve"> lors des votes sur les </w:t>
      </w:r>
      <w:r w:rsidRPr="00663F29">
        <w:rPr>
          <w:rFonts w:ascii="Times New Roman" w:hAnsi="Times New Roman" w:cs="Times New Roman"/>
          <w:sz w:val="22"/>
        </w:rPr>
        <w:t xml:space="preserve">amendements, et motive notre souhait de construire une directive juste et équilibrée, à l’image des intérêts de tous les citoyens européens. La légitimité de Renew Europe à intervenir dans les négociations réside également dans le fait que </w:t>
      </w:r>
      <w:r w:rsidRPr="00663F29">
        <w:rPr>
          <w:rFonts w:ascii="Times New Roman" w:hAnsi="Times New Roman" w:cs="Times New Roman"/>
          <w:b/>
          <w:bCs/>
          <w:sz w:val="22"/>
        </w:rPr>
        <w:t>le groupe a été à l'initiative du pacte asile et migration</w:t>
      </w:r>
      <w:r w:rsidRPr="00663F29">
        <w:rPr>
          <w:rFonts w:ascii="Times New Roman" w:hAnsi="Times New Roman" w:cs="Times New Roman"/>
          <w:sz w:val="22"/>
        </w:rPr>
        <w:t xml:space="preserve"> depuis le début de son mandat en 2019, démontrant ainsi son engagement continu et ses compétences dans ce domaine</w:t>
      </w:r>
      <w:r w:rsidRPr="00663F29">
        <w:rPr>
          <w:rStyle w:val="FootnoteReference"/>
          <w:rFonts w:ascii="Times New Roman" w:hAnsi="Times New Roman" w:cs="Times New Roman"/>
          <w:sz w:val="22"/>
        </w:rPr>
        <w:footnoteReference w:id="4"/>
      </w:r>
      <w:r w:rsidRPr="00663F29">
        <w:rPr>
          <w:rFonts w:ascii="Times New Roman" w:hAnsi="Times New Roman" w:cs="Times New Roman"/>
          <w:sz w:val="22"/>
        </w:rPr>
        <w:t xml:space="preserve">. En tant que citoyenne française et ancienne Maire de Strasbourg, je suis moi-même familière avec les défis liés à l'immigration à l'échelle nationale, et je suis convaincue de l’importance d’une </w:t>
      </w:r>
      <w:r w:rsidRPr="00663F29">
        <w:rPr>
          <w:rFonts w:ascii="Times New Roman" w:hAnsi="Times New Roman" w:cs="Times New Roman"/>
          <w:b/>
          <w:bCs/>
          <w:sz w:val="22"/>
        </w:rPr>
        <w:t>gestion commune solide</w:t>
      </w:r>
      <w:r w:rsidRPr="00663F29">
        <w:rPr>
          <w:rFonts w:ascii="Times New Roman" w:hAnsi="Times New Roman" w:cs="Times New Roman"/>
          <w:sz w:val="22"/>
        </w:rPr>
        <w:t xml:space="preserve"> de celle-ci. Mes différentes visites sur l’île de Lampedusa, qui se situe en première ligne de la réponse aux crises migratoires, ont renforcé ma conviction quant à la nécessité d'une approche européenne unifiée en matière d'asile et d</w:t>
      </w:r>
      <w:r w:rsidR="006C3DA7" w:rsidRPr="00663F29">
        <w:rPr>
          <w:rFonts w:ascii="Times New Roman" w:hAnsi="Times New Roman" w:cs="Times New Roman"/>
          <w:sz w:val="22"/>
        </w:rPr>
        <w:t xml:space="preserve">e </w:t>
      </w:r>
      <w:r w:rsidRPr="00663F29">
        <w:rPr>
          <w:rFonts w:ascii="Times New Roman" w:hAnsi="Times New Roman" w:cs="Times New Roman"/>
          <w:sz w:val="22"/>
        </w:rPr>
        <w:t xml:space="preserve">migration, qui </w:t>
      </w:r>
      <w:r w:rsidRPr="00663F29">
        <w:rPr>
          <w:rFonts w:ascii="Times New Roman" w:hAnsi="Times New Roman" w:cs="Times New Roman"/>
          <w:sz w:val="22"/>
        </w:rPr>
        <w:lastRenderedPageBreak/>
        <w:t>doit impérativement prendre en compte le respect des droits de l’</w:t>
      </w:r>
      <w:r w:rsidR="00BC6783" w:rsidRPr="00663F29">
        <w:rPr>
          <w:rFonts w:ascii="Times New Roman" w:hAnsi="Times New Roman" w:cs="Times New Roman"/>
          <w:sz w:val="22"/>
        </w:rPr>
        <w:t>H</w:t>
      </w:r>
      <w:r w:rsidRPr="00663F29">
        <w:rPr>
          <w:rFonts w:ascii="Times New Roman" w:hAnsi="Times New Roman" w:cs="Times New Roman"/>
          <w:sz w:val="22"/>
        </w:rPr>
        <w:t xml:space="preserve">omme et des </w:t>
      </w:r>
      <w:r w:rsidR="00464EE6" w:rsidRPr="00663F29">
        <w:rPr>
          <w:rFonts w:ascii="Times New Roman" w:hAnsi="Times New Roman" w:cs="Times New Roman"/>
          <w:sz w:val="22"/>
        </w:rPr>
        <w:t>ressortissants de pays tiers</w:t>
      </w:r>
      <w:r w:rsidRPr="00663F29">
        <w:rPr>
          <w:rStyle w:val="FootnoteReference"/>
          <w:rFonts w:ascii="Times New Roman" w:hAnsi="Times New Roman" w:cs="Times New Roman"/>
          <w:sz w:val="22"/>
        </w:rPr>
        <w:footnoteReference w:id="5"/>
      </w:r>
      <w:r w:rsidRPr="00663F29">
        <w:rPr>
          <w:rFonts w:ascii="Times New Roman" w:hAnsi="Times New Roman" w:cs="Times New Roman"/>
          <w:sz w:val="22"/>
        </w:rPr>
        <w:t>.</w:t>
      </w:r>
    </w:p>
    <w:p w14:paraId="76EB427D" w14:textId="77777777" w:rsidR="001B469B" w:rsidRPr="00663F29" w:rsidRDefault="001B469B" w:rsidP="004602F7">
      <w:pPr>
        <w:spacing w:after="0" w:line="264" w:lineRule="auto"/>
        <w:jc w:val="both"/>
        <w:rPr>
          <w:rFonts w:ascii="Times" w:hAnsi="Times"/>
          <w:sz w:val="22"/>
        </w:rPr>
      </w:pPr>
    </w:p>
    <w:p w14:paraId="77963CF0" w14:textId="6A5FE626" w:rsidR="001B469B" w:rsidRPr="008F0B1F" w:rsidRDefault="001B469B" w:rsidP="004602F7">
      <w:pPr>
        <w:pStyle w:val="ListParagraph"/>
        <w:numPr>
          <w:ilvl w:val="0"/>
          <w:numId w:val="1"/>
        </w:numPr>
        <w:spacing w:after="0" w:line="264" w:lineRule="auto"/>
        <w:jc w:val="both"/>
        <w:rPr>
          <w:rFonts w:ascii="Times" w:hAnsi="Times"/>
          <w:b/>
          <w:bCs/>
          <w:color w:val="1E5E9F" w:themeColor="accent3" w:themeShade="BF"/>
          <w:sz w:val="22"/>
        </w:rPr>
      </w:pPr>
      <w:r w:rsidRPr="008F0B1F">
        <w:rPr>
          <w:rFonts w:ascii="Times" w:hAnsi="Times"/>
          <w:b/>
          <w:bCs/>
          <w:color w:val="1E5E9F" w:themeColor="accent3" w:themeShade="BF"/>
          <w:sz w:val="22"/>
        </w:rPr>
        <w:t>Une directive qui respecte à la fois les frontières de l’Europe, les citoyens de l’Union Européenne</w:t>
      </w:r>
      <w:r w:rsidRPr="008F0B1F">
        <w:rPr>
          <w:rFonts w:ascii="Times" w:hAnsi="Times"/>
          <w:color w:val="1E5E9F" w:themeColor="accent3" w:themeShade="BF"/>
          <w:sz w:val="22"/>
        </w:rPr>
        <w:t> </w:t>
      </w:r>
      <w:r w:rsidRPr="008F0B1F">
        <w:rPr>
          <w:rFonts w:ascii="Times" w:hAnsi="Times"/>
          <w:b/>
          <w:bCs/>
          <w:color w:val="1E5E9F" w:themeColor="accent3" w:themeShade="BF"/>
          <w:sz w:val="22"/>
        </w:rPr>
        <w:t>et</w:t>
      </w:r>
      <w:r w:rsidRPr="008F0B1F">
        <w:rPr>
          <w:rFonts w:ascii="Times" w:hAnsi="Times"/>
          <w:color w:val="1E5E9F" w:themeColor="accent3" w:themeShade="BF"/>
          <w:sz w:val="22"/>
        </w:rPr>
        <w:t xml:space="preserve"> </w:t>
      </w:r>
      <w:r w:rsidRPr="008F0B1F">
        <w:rPr>
          <w:rFonts w:ascii="Times" w:hAnsi="Times"/>
          <w:b/>
          <w:bCs/>
          <w:color w:val="1E5E9F" w:themeColor="accent3" w:themeShade="BF"/>
          <w:sz w:val="22"/>
        </w:rPr>
        <w:t>les droits fondamentaux des ressortissants</w:t>
      </w:r>
      <w:r w:rsidR="00856C23">
        <w:rPr>
          <w:rFonts w:ascii="Times" w:hAnsi="Times"/>
          <w:b/>
          <w:bCs/>
          <w:color w:val="1E5E9F" w:themeColor="accent3" w:themeShade="BF"/>
          <w:sz w:val="22"/>
        </w:rPr>
        <w:t> </w:t>
      </w:r>
    </w:p>
    <w:p w14:paraId="34D5EDC0" w14:textId="77777777" w:rsidR="00053BC0" w:rsidRPr="00053BC0" w:rsidRDefault="00053BC0" w:rsidP="004602F7">
      <w:pPr>
        <w:spacing w:after="0" w:line="264" w:lineRule="auto"/>
        <w:jc w:val="both"/>
        <w:rPr>
          <w:rFonts w:ascii="Times" w:hAnsi="Times"/>
          <w:b/>
          <w:bCs/>
          <w:color w:val="00A1FF"/>
          <w:sz w:val="22"/>
        </w:rPr>
      </w:pPr>
    </w:p>
    <w:p w14:paraId="69258FDC" w14:textId="29DD109A" w:rsidR="00411836" w:rsidRPr="00663F29" w:rsidRDefault="001B469B" w:rsidP="004602F7">
      <w:pPr>
        <w:spacing w:before="120" w:after="120" w:line="264" w:lineRule="auto"/>
        <w:ind w:firstLine="708"/>
        <w:jc w:val="both"/>
        <w:rPr>
          <w:rFonts w:ascii="Times" w:hAnsi="Times"/>
          <w:sz w:val="22"/>
        </w:rPr>
      </w:pPr>
      <w:r w:rsidRPr="00663F29">
        <w:rPr>
          <w:rFonts w:ascii="Times" w:hAnsi="Times"/>
          <w:sz w:val="22"/>
        </w:rPr>
        <w:t xml:space="preserve">La position du groupe Renew concernant la directive « retour » du Pacte asile et migration est claire : cette directive devra avant tout </w:t>
      </w:r>
      <w:r w:rsidRPr="00663F29">
        <w:rPr>
          <w:rFonts w:ascii="Times" w:hAnsi="Times"/>
          <w:b/>
          <w:bCs/>
          <w:sz w:val="22"/>
        </w:rPr>
        <w:t>renforcer la coopération entre tous les États membres</w:t>
      </w:r>
      <w:r w:rsidRPr="00663F29">
        <w:rPr>
          <w:rFonts w:ascii="Times" w:hAnsi="Times"/>
          <w:sz w:val="22"/>
        </w:rPr>
        <w:t xml:space="preserve">, en s’assurant de l’harmonisation des politiques, des décisions et des données au sein de l’Union européenne. De la même manière, nous soutenons la </w:t>
      </w:r>
      <w:r w:rsidRPr="00663F29">
        <w:rPr>
          <w:rFonts w:ascii="Times" w:hAnsi="Times"/>
          <w:b/>
          <w:bCs/>
          <w:sz w:val="22"/>
        </w:rPr>
        <w:t>reconnaissance mutuelle des décisions de retour</w:t>
      </w:r>
      <w:r w:rsidRPr="00663F29">
        <w:rPr>
          <w:rFonts w:ascii="Times" w:hAnsi="Times"/>
          <w:sz w:val="22"/>
        </w:rPr>
        <w:t xml:space="preserve">, et également le fait qu’un État membre se doit de respecter au maximum la décision d’interdiction d’entrée d’un autre </w:t>
      </w:r>
      <w:r w:rsidRPr="00663F29">
        <w:rPr>
          <w:rFonts w:ascii="Times New Roman" w:hAnsi="Times New Roman" w:cs="Times New Roman"/>
          <w:sz w:val="22"/>
        </w:rPr>
        <w:t xml:space="preserve">État membre, celle-ci pouvant résulter de menaces à la sécurité publique ou nationale. </w:t>
      </w:r>
      <w:r w:rsidRPr="00663F29">
        <w:rPr>
          <w:rFonts w:ascii="Times" w:hAnsi="Times"/>
          <w:sz w:val="22"/>
        </w:rPr>
        <w:t xml:space="preserve">Cette approche favorise une </w:t>
      </w:r>
      <w:r w:rsidRPr="00663F29">
        <w:rPr>
          <w:rFonts w:ascii="Times" w:hAnsi="Times"/>
          <w:b/>
          <w:bCs/>
          <w:sz w:val="22"/>
        </w:rPr>
        <w:t>cohérence et une équité</w:t>
      </w:r>
      <w:r w:rsidRPr="00663F29">
        <w:rPr>
          <w:rFonts w:ascii="Times" w:hAnsi="Times"/>
          <w:sz w:val="22"/>
        </w:rPr>
        <w:t xml:space="preserve"> accrues dans la mise en œuvre de la politique de retour au niveau européen, ce qui n’est pas le cas du règlement de Dublin III</w:t>
      </w:r>
      <w:r w:rsidRPr="00663F29">
        <w:rPr>
          <w:rStyle w:val="FootnoteReference"/>
          <w:rFonts w:ascii="Times" w:hAnsi="Times"/>
          <w:sz w:val="22"/>
        </w:rPr>
        <w:footnoteReference w:id="6"/>
      </w:r>
      <w:r w:rsidRPr="00663F29">
        <w:rPr>
          <w:rFonts w:ascii="Times" w:hAnsi="Times"/>
          <w:sz w:val="22"/>
        </w:rPr>
        <w:t>. Ce dernier a également été vivement critiqué pour avoir entraîné des violations des droits fondamentaux des demandeurs d'asile,</w:t>
      </w:r>
      <w:r w:rsidRPr="00663F29">
        <w:rPr>
          <w:rStyle w:val="FootnoteReference"/>
          <w:rFonts w:ascii="Times" w:hAnsi="Times"/>
          <w:sz w:val="22"/>
        </w:rPr>
        <w:footnoteReference w:id="7"/>
      </w:r>
      <w:r w:rsidRPr="00663F29">
        <w:rPr>
          <w:rFonts w:ascii="Times" w:hAnsi="Times"/>
          <w:sz w:val="22"/>
        </w:rPr>
        <w:t xml:space="preserve"> remettant en question son efficacité globale en matière de retour. Ainsi, le groupe Renew Europe a pour ambition de construire </w:t>
      </w:r>
      <w:r w:rsidRPr="00663F29">
        <w:rPr>
          <w:rFonts w:ascii="Times" w:hAnsi="Times"/>
          <w:b/>
          <w:bCs/>
          <w:sz w:val="22"/>
        </w:rPr>
        <w:t>une</w:t>
      </w:r>
      <w:r w:rsidRPr="00663F29">
        <w:rPr>
          <w:rFonts w:ascii="Times" w:hAnsi="Times"/>
          <w:sz w:val="22"/>
        </w:rPr>
        <w:t xml:space="preserve"> </w:t>
      </w:r>
      <w:r w:rsidRPr="00663F29">
        <w:rPr>
          <w:rFonts w:ascii="Times" w:hAnsi="Times"/>
          <w:b/>
          <w:bCs/>
          <w:sz w:val="22"/>
        </w:rPr>
        <w:t xml:space="preserve">directive « retour » exemplaire en matière de respect des </w:t>
      </w:r>
      <w:r w:rsidR="00DA5CF2" w:rsidRPr="00663F29">
        <w:rPr>
          <w:rFonts w:ascii="Times" w:hAnsi="Times"/>
          <w:b/>
          <w:bCs/>
          <w:sz w:val="22"/>
        </w:rPr>
        <w:t>d</w:t>
      </w:r>
      <w:r w:rsidRPr="00663F29">
        <w:rPr>
          <w:rFonts w:ascii="Times" w:hAnsi="Times"/>
          <w:b/>
          <w:bCs/>
          <w:sz w:val="22"/>
        </w:rPr>
        <w:t>roits de l’Homme</w:t>
      </w:r>
      <w:r w:rsidRPr="00663F29">
        <w:rPr>
          <w:rFonts w:ascii="Times" w:hAnsi="Times"/>
          <w:sz w:val="22"/>
        </w:rPr>
        <w:t xml:space="preserve"> </w:t>
      </w:r>
      <w:r w:rsidRPr="00663F29">
        <w:rPr>
          <w:rFonts w:ascii="Times" w:hAnsi="Times"/>
          <w:b/>
          <w:bCs/>
          <w:sz w:val="22"/>
        </w:rPr>
        <w:t>et des demandeurs d’asile</w:t>
      </w:r>
      <w:r w:rsidRPr="00663F29">
        <w:rPr>
          <w:rFonts w:ascii="Times" w:hAnsi="Times"/>
          <w:sz w:val="22"/>
        </w:rPr>
        <w:t>. Pour cela, le groupe souhaite tout d’abord s’assurer d’une solide législation en matière du respect des droits des mineurs</w:t>
      </w:r>
      <w:r w:rsidRPr="00663F29">
        <w:rPr>
          <w:rStyle w:val="FootnoteReference"/>
          <w:rFonts w:ascii="Times" w:hAnsi="Times"/>
          <w:sz w:val="22"/>
        </w:rPr>
        <w:footnoteReference w:id="8"/>
      </w:r>
      <w:r w:rsidRPr="00663F29">
        <w:rPr>
          <w:rFonts w:ascii="Times" w:hAnsi="Times"/>
          <w:sz w:val="22"/>
        </w:rPr>
        <w:t>, qui n’est pas assez claire aujourd’hui selon nous. En effet, dans le cadre de la migration, de nombreux mineurs sont généralement astreints à respecter les mêmes obligations légales que les adultes, bien que des dispositions spécifiques soient prévues pour les mineurs en matière pénale. Pour cela, nous saurons compter sur le soutien, entre autre, du groupe S&amp;D, engagé auprès de nous dans cette lutte pour le respect des droits de l’homme et des enfants.</w:t>
      </w:r>
      <w:r w:rsidRPr="00663F29">
        <w:rPr>
          <w:rFonts w:ascii="Times" w:hAnsi="Times"/>
          <w:b/>
          <w:bCs/>
          <w:sz w:val="22"/>
        </w:rPr>
        <w:t xml:space="preserve"> </w:t>
      </w:r>
    </w:p>
    <w:p w14:paraId="493D40A4" w14:textId="4EC03FA5" w:rsidR="004602F7" w:rsidRDefault="001B469B" w:rsidP="004602F7">
      <w:pPr>
        <w:spacing w:before="120" w:after="0" w:line="264" w:lineRule="auto"/>
        <w:ind w:firstLine="708"/>
        <w:jc w:val="both"/>
        <w:rPr>
          <w:rFonts w:ascii="Times" w:hAnsi="Times"/>
          <w:sz w:val="22"/>
        </w:rPr>
      </w:pPr>
      <w:r w:rsidRPr="00663F29">
        <w:rPr>
          <w:rFonts w:ascii="Times" w:hAnsi="Times"/>
          <w:sz w:val="22"/>
        </w:rPr>
        <w:t xml:space="preserve">De plus, le groupe Renew Europe souligne </w:t>
      </w:r>
      <w:r w:rsidRPr="00663F29">
        <w:rPr>
          <w:rFonts w:ascii="Times" w:hAnsi="Times"/>
          <w:b/>
          <w:bCs/>
          <w:sz w:val="22"/>
        </w:rPr>
        <w:t>l’importance cruciale des négociations et de la coopération avec les États tiers</w:t>
      </w:r>
      <w:r w:rsidRPr="00663F29">
        <w:rPr>
          <w:rFonts w:ascii="Times" w:hAnsi="Times"/>
          <w:sz w:val="22"/>
        </w:rPr>
        <w:t xml:space="preserve">, qui jouent un rôle décisif dans la mise en œuvre durable des politiques de retour. Ainsi, nous sommes en faveur d’un conditionnement de l’octroi des visas et </w:t>
      </w:r>
      <w:r w:rsidR="00984325">
        <w:rPr>
          <w:rFonts w:ascii="Times" w:hAnsi="Times"/>
          <w:sz w:val="22"/>
        </w:rPr>
        <w:t>de l’</w:t>
      </w:r>
      <w:r w:rsidRPr="00663F29">
        <w:rPr>
          <w:rFonts w:ascii="Times" w:hAnsi="Times"/>
          <w:sz w:val="22"/>
        </w:rPr>
        <w:t xml:space="preserve">aide financière aux États tiers ne respectant pas les accords de réadmission préalablement instaurés. Le groupe Renew mets ainsi l’accent sur </w:t>
      </w:r>
      <w:r w:rsidRPr="00663F29">
        <w:rPr>
          <w:rFonts w:ascii="Times" w:hAnsi="Times"/>
          <w:b/>
          <w:bCs/>
          <w:sz w:val="22"/>
        </w:rPr>
        <w:t xml:space="preserve">l’importance de </w:t>
      </w:r>
      <w:r w:rsidR="00ED37DC">
        <w:rPr>
          <w:rFonts w:ascii="Times" w:hAnsi="Times"/>
          <w:b/>
          <w:bCs/>
          <w:sz w:val="22"/>
        </w:rPr>
        <w:t>cibler</w:t>
      </w:r>
      <w:r w:rsidRPr="00663F29">
        <w:rPr>
          <w:rFonts w:ascii="Times" w:hAnsi="Times"/>
          <w:b/>
          <w:bCs/>
          <w:sz w:val="22"/>
        </w:rPr>
        <w:t xml:space="preserve"> les aides, et leur montant</w:t>
      </w:r>
      <w:r w:rsidRPr="00663F29">
        <w:rPr>
          <w:rFonts w:ascii="Times" w:hAnsi="Times"/>
          <w:sz w:val="22"/>
        </w:rPr>
        <w:t>, accordées au respect des droits fondamentaux des migrants, à la lutte contre les voies illégales de</w:t>
      </w:r>
      <w:r w:rsidR="00663F29">
        <w:rPr>
          <w:rFonts w:ascii="Times" w:hAnsi="Times"/>
          <w:sz w:val="22"/>
        </w:rPr>
        <w:t xml:space="preserve"> </w:t>
      </w:r>
      <w:r w:rsidRPr="00663F29">
        <w:rPr>
          <w:rFonts w:ascii="Times" w:hAnsi="Times"/>
          <w:sz w:val="22"/>
        </w:rPr>
        <w:t xml:space="preserve">migration et à l’aide à la réintégration. Pour cela, Renew travaille aux côtés du PPE, afin d’établir une législation claire en terme de réadmission et de coopération avec les États tiers. </w:t>
      </w:r>
    </w:p>
    <w:p w14:paraId="269F9E4C" w14:textId="38A4DA0F" w:rsidR="00917D90" w:rsidRDefault="00917D90" w:rsidP="004602F7">
      <w:pPr>
        <w:spacing w:before="120" w:after="0" w:line="264" w:lineRule="auto"/>
        <w:ind w:firstLine="708"/>
        <w:jc w:val="both"/>
        <w:rPr>
          <w:rFonts w:ascii="Times New Roman" w:hAnsi="Times New Roman" w:cs="Times New Roman"/>
          <w:sz w:val="22"/>
        </w:rPr>
      </w:pPr>
      <w:r>
        <w:rPr>
          <w:rFonts w:ascii="Times" w:hAnsi="Times"/>
          <w:sz w:val="22"/>
        </w:rPr>
        <w:t>En</w:t>
      </w:r>
      <w:r w:rsidR="001B469B" w:rsidRPr="00663F29">
        <w:rPr>
          <w:rFonts w:ascii="Times" w:hAnsi="Times"/>
          <w:sz w:val="22"/>
        </w:rPr>
        <w:t xml:space="preserve"> matière de l’utilisation de l’Intelligence Artificielle</w:t>
      </w:r>
      <w:r w:rsidR="00B30682">
        <w:rPr>
          <w:rFonts w:ascii="Times" w:hAnsi="Times"/>
          <w:sz w:val="22"/>
        </w:rPr>
        <w:t xml:space="preserve"> aux frontières et au sein de l’UE</w:t>
      </w:r>
      <w:r w:rsidR="001B469B" w:rsidRPr="00663F29">
        <w:rPr>
          <w:rFonts w:ascii="Times" w:hAnsi="Times"/>
          <w:sz w:val="22"/>
        </w:rPr>
        <w:t xml:space="preserve">, le groupe Renew </w:t>
      </w:r>
      <w:r w:rsidR="001B469B" w:rsidRPr="00663F29">
        <w:rPr>
          <w:rFonts w:ascii="Times" w:hAnsi="Times"/>
          <w:b/>
          <w:bCs/>
          <w:sz w:val="22"/>
        </w:rPr>
        <w:t>reconnait le potentiel et l’efficacité de ces outils</w:t>
      </w:r>
      <w:r w:rsidR="001B469B" w:rsidRPr="00663F29">
        <w:rPr>
          <w:rFonts w:ascii="Times" w:hAnsi="Times"/>
          <w:sz w:val="22"/>
        </w:rPr>
        <w:t xml:space="preserve"> afin d’assurer une meilleure gestion de la migration eu Europe. Ainsi, nous soutenons le développement d'une IA digne de confiance, éthiquement responsable et techniquement robuste, tout en préservant le plus grand respect des droits et libertés</w:t>
      </w:r>
      <w:r w:rsidR="00D4286C">
        <w:rPr>
          <w:rFonts w:ascii="Times" w:hAnsi="Times"/>
          <w:sz w:val="22"/>
        </w:rPr>
        <w:t xml:space="preserve"> </w:t>
      </w:r>
      <w:r w:rsidR="001B469B" w:rsidRPr="00663F29">
        <w:rPr>
          <w:rFonts w:ascii="Times" w:hAnsi="Times"/>
          <w:sz w:val="22"/>
        </w:rPr>
        <w:t>fondamentaux</w:t>
      </w:r>
      <w:r w:rsidR="001B469B" w:rsidRPr="00663F29">
        <w:rPr>
          <w:rStyle w:val="FootnoteReference"/>
          <w:rFonts w:ascii="Times" w:hAnsi="Times"/>
          <w:sz w:val="22"/>
        </w:rPr>
        <w:footnoteReference w:id="9"/>
      </w:r>
      <w:r w:rsidR="001B469B" w:rsidRPr="00663F29">
        <w:rPr>
          <w:rFonts w:ascii="Times" w:hAnsi="Times"/>
          <w:sz w:val="22"/>
        </w:rPr>
        <w:t xml:space="preserve">. Le groupe Renew souligne également l'importance du </w:t>
      </w:r>
      <w:r w:rsidR="001B469B" w:rsidRPr="00663F29">
        <w:rPr>
          <w:rFonts w:ascii="Times" w:hAnsi="Times"/>
          <w:b/>
          <w:bCs/>
          <w:sz w:val="22"/>
        </w:rPr>
        <w:t>recours à des institutions européennes chargées de l'administration de l'IA</w:t>
      </w:r>
      <w:r w:rsidR="001B469B" w:rsidRPr="00663F29">
        <w:rPr>
          <w:rFonts w:ascii="Times" w:hAnsi="Times"/>
          <w:sz w:val="22"/>
        </w:rPr>
        <w:t xml:space="preserve">. Cette approche vise à </w:t>
      </w:r>
      <w:r w:rsidR="001B469B" w:rsidRPr="00663F29">
        <w:rPr>
          <w:rFonts w:ascii="Times" w:hAnsi="Times"/>
          <w:b/>
          <w:bCs/>
          <w:sz w:val="22"/>
        </w:rPr>
        <w:t>stimuler l'innovation et la recherche et développement en Europe</w:t>
      </w:r>
      <w:r w:rsidR="001B469B" w:rsidRPr="00663F29">
        <w:rPr>
          <w:rFonts w:ascii="Times" w:hAnsi="Times"/>
          <w:sz w:val="22"/>
        </w:rPr>
        <w:t xml:space="preserve">, tout en </w:t>
      </w:r>
      <w:r w:rsidR="001B469B" w:rsidRPr="008858F9">
        <w:rPr>
          <w:rFonts w:ascii="Times New Roman" w:hAnsi="Times New Roman" w:cs="Times New Roman"/>
          <w:sz w:val="22"/>
        </w:rPr>
        <w:t xml:space="preserve">garantissant la protection des données des ressortissants d'États tiers et des citoyens de l'UE. </w:t>
      </w:r>
    </w:p>
    <w:p w14:paraId="303C0CD6" w14:textId="1F7705DE" w:rsidR="005F3DC1" w:rsidRPr="00FC6294" w:rsidRDefault="00917D90" w:rsidP="004602F7">
      <w:pPr>
        <w:spacing w:before="120" w:after="0" w:line="264" w:lineRule="auto"/>
        <w:ind w:firstLine="708"/>
        <w:jc w:val="both"/>
        <w:rPr>
          <w:rFonts w:ascii="Times" w:hAnsi="Times"/>
          <w:sz w:val="22"/>
        </w:rPr>
      </w:pPr>
      <w:r>
        <w:rPr>
          <w:rFonts w:ascii="Times New Roman" w:hAnsi="Times New Roman" w:cs="Times New Roman"/>
          <w:sz w:val="22"/>
        </w:rPr>
        <w:lastRenderedPageBreak/>
        <w:t>Enfin, l</w:t>
      </w:r>
      <w:r w:rsidR="00612523" w:rsidRPr="008858F9">
        <w:rPr>
          <w:rFonts w:ascii="Times New Roman" w:hAnsi="Times New Roman" w:cs="Times New Roman"/>
          <w:sz w:val="22"/>
        </w:rPr>
        <w:t xml:space="preserve">e groupe Renew soutient également le </w:t>
      </w:r>
      <w:r w:rsidR="00612523" w:rsidRPr="0052346A">
        <w:rPr>
          <w:rFonts w:ascii="Times New Roman" w:hAnsi="Times New Roman" w:cs="Times New Roman"/>
          <w:b/>
          <w:bCs/>
          <w:sz w:val="22"/>
        </w:rPr>
        <w:t>développement et</w:t>
      </w:r>
      <w:r w:rsidR="00EB4B6C" w:rsidRPr="0052346A">
        <w:rPr>
          <w:rFonts w:ascii="Times New Roman" w:hAnsi="Times New Roman" w:cs="Times New Roman"/>
          <w:b/>
          <w:bCs/>
          <w:sz w:val="22"/>
        </w:rPr>
        <w:t xml:space="preserve"> le</w:t>
      </w:r>
      <w:r w:rsidR="00612523" w:rsidRPr="0052346A">
        <w:rPr>
          <w:rFonts w:ascii="Times New Roman" w:hAnsi="Times New Roman" w:cs="Times New Roman"/>
          <w:b/>
          <w:bCs/>
          <w:sz w:val="22"/>
        </w:rPr>
        <w:t xml:space="preserve"> refinancement </w:t>
      </w:r>
      <w:r w:rsidR="000F7516" w:rsidRPr="0052346A">
        <w:rPr>
          <w:rFonts w:ascii="Times New Roman" w:hAnsi="Times New Roman" w:cs="Times New Roman"/>
          <w:b/>
          <w:bCs/>
          <w:sz w:val="22"/>
        </w:rPr>
        <w:t xml:space="preserve">par les États membres </w:t>
      </w:r>
      <w:r w:rsidR="00612523" w:rsidRPr="0052346A">
        <w:rPr>
          <w:rFonts w:ascii="Times New Roman" w:hAnsi="Times New Roman" w:cs="Times New Roman"/>
          <w:b/>
          <w:bCs/>
          <w:sz w:val="22"/>
        </w:rPr>
        <w:t>de Frontex</w:t>
      </w:r>
      <w:r w:rsidR="00612523" w:rsidRPr="008858F9">
        <w:rPr>
          <w:rFonts w:ascii="Times New Roman" w:hAnsi="Times New Roman" w:cs="Times New Roman"/>
          <w:sz w:val="22"/>
        </w:rPr>
        <w:t xml:space="preserve">, </w:t>
      </w:r>
      <w:r w:rsidR="007203C6">
        <w:rPr>
          <w:rFonts w:ascii="Times New Roman" w:hAnsi="Times New Roman" w:cs="Times New Roman"/>
          <w:sz w:val="22"/>
        </w:rPr>
        <w:t xml:space="preserve">agence européenne </w:t>
      </w:r>
      <w:r w:rsidR="00612523" w:rsidRPr="008858F9">
        <w:rPr>
          <w:rFonts w:ascii="Times New Roman" w:hAnsi="Times New Roman" w:cs="Times New Roman"/>
          <w:sz w:val="22"/>
        </w:rPr>
        <w:t xml:space="preserve">non-mentionnée dans la directive retour, afin de </w:t>
      </w:r>
      <w:r w:rsidR="00612523" w:rsidRPr="008858F9">
        <w:rPr>
          <w:rFonts w:ascii="Times New Roman" w:hAnsi="Times New Roman" w:cs="Times New Roman"/>
          <w:color w:val="0F0F0F"/>
          <w:sz w:val="22"/>
        </w:rPr>
        <w:t>renforcer la sécurité aux frontières et de garantir une mise en œuvre efficace des politiques liées à l'asile et à la migration.</w:t>
      </w:r>
    </w:p>
    <w:p w14:paraId="5307DFCF" w14:textId="77777777" w:rsidR="00C75CAE" w:rsidRPr="00663F29" w:rsidRDefault="00C75CAE" w:rsidP="004602F7">
      <w:pPr>
        <w:spacing w:after="0" w:line="264" w:lineRule="auto"/>
        <w:jc w:val="both"/>
        <w:rPr>
          <w:rFonts w:ascii="Times" w:hAnsi="Times"/>
          <w:b/>
          <w:bCs/>
          <w:sz w:val="22"/>
        </w:rPr>
      </w:pPr>
    </w:p>
    <w:p w14:paraId="0AC5F624" w14:textId="22C7E520" w:rsidR="00534320" w:rsidRPr="00932745" w:rsidRDefault="001B469B" w:rsidP="00EC2E68">
      <w:pPr>
        <w:pStyle w:val="ListParagraph"/>
        <w:numPr>
          <w:ilvl w:val="0"/>
          <w:numId w:val="1"/>
        </w:numPr>
        <w:spacing w:after="0" w:line="264" w:lineRule="auto"/>
        <w:jc w:val="both"/>
        <w:rPr>
          <w:rFonts w:ascii="Times" w:hAnsi="Times"/>
          <w:b/>
          <w:bCs/>
          <w:color w:val="00A1FF"/>
          <w:sz w:val="22"/>
        </w:rPr>
      </w:pPr>
      <w:r w:rsidRPr="00932745">
        <w:rPr>
          <w:rFonts w:ascii="Times" w:hAnsi="Times"/>
          <w:b/>
          <w:bCs/>
          <w:color w:val="1E5E9F" w:themeColor="accent3" w:themeShade="BF"/>
          <w:sz w:val="22"/>
        </w:rPr>
        <w:t xml:space="preserve">Recommandations du groupe Renew Europe </w:t>
      </w:r>
      <w:r w:rsidR="002E3DBC">
        <w:rPr>
          <w:rFonts w:ascii="Times" w:hAnsi="Times"/>
          <w:b/>
          <w:bCs/>
          <w:color w:val="1E5E9F" w:themeColor="accent3" w:themeShade="BF"/>
          <w:sz w:val="22"/>
        </w:rPr>
        <w:t>concernant la</w:t>
      </w:r>
      <w:r w:rsidR="00932745">
        <w:rPr>
          <w:rFonts w:ascii="Times" w:hAnsi="Times"/>
          <w:b/>
          <w:bCs/>
          <w:color w:val="1E5E9F" w:themeColor="accent3" w:themeShade="BF"/>
          <w:sz w:val="22"/>
        </w:rPr>
        <w:t xml:space="preserve"> directive « retour</w:t>
      </w:r>
      <w:r w:rsidR="00DE1B0B">
        <w:rPr>
          <w:rFonts w:ascii="Times" w:hAnsi="Times"/>
          <w:b/>
          <w:bCs/>
          <w:color w:val="1E5E9F" w:themeColor="accent3" w:themeShade="BF"/>
          <w:sz w:val="22"/>
        </w:rPr>
        <w:t> »</w:t>
      </w:r>
    </w:p>
    <w:p w14:paraId="7C34D12C" w14:textId="77777777" w:rsidR="00932745" w:rsidRPr="00932745" w:rsidRDefault="00932745" w:rsidP="00932745">
      <w:pPr>
        <w:spacing w:after="0" w:line="264" w:lineRule="auto"/>
        <w:jc w:val="both"/>
        <w:rPr>
          <w:rFonts w:ascii="Times" w:hAnsi="Times"/>
          <w:b/>
          <w:bCs/>
          <w:color w:val="00A1FF"/>
          <w:sz w:val="22"/>
        </w:rPr>
      </w:pPr>
    </w:p>
    <w:p w14:paraId="177A5E4E" w14:textId="2F1F45C9" w:rsidR="00740F54" w:rsidRPr="00092D05" w:rsidRDefault="001B469B" w:rsidP="00092D05">
      <w:pPr>
        <w:spacing w:line="264" w:lineRule="auto"/>
        <w:ind w:firstLine="708"/>
        <w:jc w:val="both"/>
        <w:rPr>
          <w:rFonts w:ascii="Times" w:hAnsi="Times"/>
        </w:rPr>
      </w:pPr>
      <w:r w:rsidRPr="00663F29">
        <w:rPr>
          <w:rFonts w:ascii="Times" w:hAnsi="Times"/>
          <w:sz w:val="22"/>
        </w:rPr>
        <w:t xml:space="preserve">Le groupe Renew présente les recommandations suivantes (liste non-exhaustive) concernant la </w:t>
      </w:r>
      <w:r w:rsidRPr="00092D05">
        <w:rPr>
          <w:rFonts w:ascii="Times" w:hAnsi="Times"/>
          <w:sz w:val="22"/>
        </w:rPr>
        <w:t>proposition de directive retour de la Commission européenne</w:t>
      </w:r>
      <w:r w:rsidR="00092D05" w:rsidRPr="00092D05">
        <w:rPr>
          <w:rFonts w:ascii="Times" w:hAnsi="Times"/>
          <w:sz w:val="22"/>
        </w:rPr>
        <w:t xml:space="preserve">. Le groupe Renew considère que ces recommandations assurent la </w:t>
      </w:r>
      <w:r w:rsidR="00092D05" w:rsidRPr="00B05A5A">
        <w:rPr>
          <w:rFonts w:ascii="Times" w:hAnsi="Times"/>
          <w:b/>
          <w:bCs/>
          <w:sz w:val="22"/>
        </w:rPr>
        <w:t>protection des droits fondamentaux des ressortissants et des mineurs</w:t>
      </w:r>
      <w:r w:rsidR="00092D05" w:rsidRPr="00092D05">
        <w:rPr>
          <w:rFonts w:ascii="Times" w:hAnsi="Times"/>
          <w:sz w:val="22"/>
        </w:rPr>
        <w:t xml:space="preserve"> et une </w:t>
      </w:r>
      <w:r w:rsidR="00092D05" w:rsidRPr="00B05A5A">
        <w:rPr>
          <w:rFonts w:ascii="Times" w:hAnsi="Times"/>
          <w:b/>
          <w:bCs/>
          <w:sz w:val="22"/>
        </w:rPr>
        <w:t>gestion efficace des retours</w:t>
      </w:r>
      <w:r w:rsidR="00092D05" w:rsidRPr="00092D05">
        <w:rPr>
          <w:rFonts w:ascii="Times" w:hAnsi="Times"/>
          <w:sz w:val="22"/>
        </w:rPr>
        <w:t xml:space="preserve">, tout en </w:t>
      </w:r>
      <w:r w:rsidR="00092D05" w:rsidRPr="00B05A5A">
        <w:rPr>
          <w:rFonts w:ascii="Times" w:hAnsi="Times"/>
          <w:b/>
          <w:bCs/>
          <w:sz w:val="22"/>
        </w:rPr>
        <w:t>favorisant la coopération entre les États membres de l’UE et avec les États tiers</w:t>
      </w:r>
      <w:r w:rsidR="00092D05" w:rsidRPr="00092D05">
        <w:rPr>
          <w:rFonts w:ascii="Times" w:hAnsi="Times"/>
          <w:sz w:val="22"/>
        </w:rPr>
        <w:t> :</w:t>
      </w:r>
    </w:p>
    <w:p w14:paraId="103AD2FD" w14:textId="2CEF5EC5" w:rsidR="00411836" w:rsidRPr="00663F29" w:rsidRDefault="001B469B" w:rsidP="004602F7">
      <w:pPr>
        <w:spacing w:before="120" w:after="0" w:line="264" w:lineRule="auto"/>
        <w:ind w:firstLine="708"/>
        <w:jc w:val="both"/>
        <w:rPr>
          <w:rFonts w:ascii="Times" w:hAnsi="Times"/>
          <w:sz w:val="22"/>
        </w:rPr>
      </w:pPr>
      <w:r w:rsidRPr="008244EF">
        <w:rPr>
          <w:rFonts w:ascii="Times" w:hAnsi="Times"/>
          <w:b/>
          <w:bCs/>
          <w:color w:val="000000" w:themeColor="text1"/>
          <w:sz w:val="22"/>
        </w:rPr>
        <w:t xml:space="preserve">Risque de fuite (Article </w:t>
      </w:r>
      <w:r w:rsidR="00AD3AC1" w:rsidRPr="008244EF">
        <w:rPr>
          <w:rFonts w:ascii="Times" w:hAnsi="Times"/>
          <w:b/>
          <w:bCs/>
          <w:color w:val="000000" w:themeColor="text1"/>
          <w:sz w:val="22"/>
        </w:rPr>
        <w:t>6)</w:t>
      </w:r>
      <w:r w:rsidR="00B32280" w:rsidRPr="008244EF">
        <w:rPr>
          <w:rFonts w:ascii="Times" w:hAnsi="Times"/>
          <w:b/>
          <w:bCs/>
          <w:color w:val="000000" w:themeColor="text1"/>
          <w:sz w:val="22"/>
        </w:rPr>
        <w:t xml:space="preserve"> -</w:t>
      </w:r>
      <w:r w:rsidRPr="008244EF">
        <w:rPr>
          <w:rFonts w:ascii="Times" w:hAnsi="Times"/>
          <w:color w:val="000000" w:themeColor="text1"/>
          <w:sz w:val="22"/>
        </w:rPr>
        <w:t xml:space="preserve"> </w:t>
      </w:r>
      <w:r w:rsidR="00B32280">
        <w:rPr>
          <w:rFonts w:ascii="Times" w:hAnsi="Times"/>
          <w:sz w:val="22"/>
        </w:rPr>
        <w:t>N</w:t>
      </w:r>
      <w:r w:rsidR="003C1D2A">
        <w:rPr>
          <w:rFonts w:ascii="Times" w:hAnsi="Times"/>
          <w:sz w:val="22"/>
        </w:rPr>
        <w:t>ous souhaitons</w:t>
      </w:r>
      <w:r w:rsidRPr="00663F29">
        <w:rPr>
          <w:rFonts w:ascii="Times" w:hAnsi="Times"/>
          <w:sz w:val="22"/>
        </w:rPr>
        <w:t xml:space="preserve"> </w:t>
      </w:r>
      <w:r w:rsidRPr="00C5681C">
        <w:rPr>
          <w:rFonts w:ascii="Times" w:hAnsi="Times"/>
          <w:sz w:val="22"/>
        </w:rPr>
        <w:t>redéfinir les critères de risque de fuite</w:t>
      </w:r>
      <w:r w:rsidRPr="00663F29">
        <w:rPr>
          <w:rFonts w:ascii="Times" w:hAnsi="Times"/>
          <w:sz w:val="22"/>
        </w:rPr>
        <w:t xml:space="preserve"> tels qu’énoncés dans l’article 6. Le critère « manque de moyens financiers » doit être retiré des critères objectifs de fuite, car il est arbitraire et </w:t>
      </w:r>
      <w:r w:rsidR="00B05A5A">
        <w:rPr>
          <w:rFonts w:ascii="Times" w:hAnsi="Times"/>
          <w:sz w:val="22"/>
        </w:rPr>
        <w:t>discriminatoire</w:t>
      </w:r>
      <w:r w:rsidRPr="00663F29">
        <w:rPr>
          <w:rFonts w:ascii="Times" w:hAnsi="Times"/>
          <w:sz w:val="22"/>
        </w:rPr>
        <w:t xml:space="preserve">, ne permettant pas une évaluation objective et équitable. D’autres critères doivent être reprécisés : la seconde partie du point l), « refus de fournir ses empreintes digitales » ne </w:t>
      </w:r>
      <w:r w:rsidR="00B05A5A">
        <w:rPr>
          <w:rFonts w:ascii="Times" w:hAnsi="Times"/>
          <w:sz w:val="22"/>
        </w:rPr>
        <w:t>devrait</w:t>
      </w:r>
      <w:r w:rsidRPr="00663F29">
        <w:rPr>
          <w:rFonts w:ascii="Times" w:hAnsi="Times"/>
          <w:sz w:val="22"/>
        </w:rPr>
        <w:t xml:space="preserve"> pas apparaître dans les critères de fuite, car c’est une atteinte au respect de la vie privée et à la protection des données personnelles. Enfin, nous souhaitons </w:t>
      </w:r>
      <w:r w:rsidRPr="00C5681C">
        <w:rPr>
          <w:rFonts w:ascii="Times" w:hAnsi="Times"/>
          <w:sz w:val="22"/>
        </w:rPr>
        <w:t>diviser les critères de fuite en deux parties distinctes</w:t>
      </w:r>
      <w:r w:rsidRPr="00663F29">
        <w:rPr>
          <w:rFonts w:ascii="Times" w:hAnsi="Times"/>
          <w:sz w:val="22"/>
        </w:rPr>
        <w:t xml:space="preserve"> : une partie désignant les critères de fuite</w:t>
      </w:r>
      <w:r w:rsidR="002D0BE2" w:rsidRPr="00663F29">
        <w:rPr>
          <w:rFonts w:ascii="Times" w:hAnsi="Times"/>
          <w:sz w:val="22"/>
        </w:rPr>
        <w:t xml:space="preserve"> dite</w:t>
      </w:r>
      <w:r w:rsidRPr="00663F29">
        <w:rPr>
          <w:rFonts w:ascii="Times" w:hAnsi="Times"/>
          <w:sz w:val="22"/>
        </w:rPr>
        <w:t xml:space="preserve"> « présumée », qui </w:t>
      </w:r>
      <w:r w:rsidR="005F08EB">
        <w:rPr>
          <w:rFonts w:ascii="Times" w:hAnsi="Times"/>
          <w:sz w:val="22"/>
        </w:rPr>
        <w:t xml:space="preserve">peuvent </w:t>
      </w:r>
      <w:r w:rsidRPr="00663F29">
        <w:rPr>
          <w:rFonts w:ascii="Times" w:hAnsi="Times"/>
          <w:sz w:val="22"/>
        </w:rPr>
        <w:t>justifie</w:t>
      </w:r>
      <w:r w:rsidR="005F08EB">
        <w:rPr>
          <w:rFonts w:ascii="Times" w:hAnsi="Times"/>
          <w:sz w:val="22"/>
        </w:rPr>
        <w:t>r</w:t>
      </w:r>
      <w:r w:rsidRPr="00663F29">
        <w:rPr>
          <w:rFonts w:ascii="Times" w:hAnsi="Times"/>
          <w:sz w:val="22"/>
        </w:rPr>
        <w:t xml:space="preserve"> la rétention pour les adultes (h, j, m, n, o et l (sauf empreintes digitales) et les critères dit « aggravants », qui contribuent à une évaluation globale des circonstances (a, b, d, e, f, g, i, k). </w:t>
      </w:r>
    </w:p>
    <w:p w14:paraId="59F14808" w14:textId="3BC62EE4" w:rsidR="00411836" w:rsidRPr="00663F29" w:rsidRDefault="001B469B" w:rsidP="004602F7">
      <w:pPr>
        <w:spacing w:before="120" w:after="120" w:line="264" w:lineRule="auto"/>
        <w:ind w:firstLine="708"/>
        <w:jc w:val="both"/>
        <w:rPr>
          <w:rFonts w:ascii="Times" w:hAnsi="Times"/>
          <w:sz w:val="22"/>
        </w:rPr>
      </w:pPr>
      <w:r w:rsidRPr="008244EF">
        <w:rPr>
          <w:rFonts w:ascii="Times" w:hAnsi="Times"/>
          <w:b/>
          <w:bCs/>
          <w:color w:val="000000" w:themeColor="text1"/>
          <w:sz w:val="22"/>
        </w:rPr>
        <w:t>Coopération avec les États tiers (Article 8.1)</w:t>
      </w:r>
      <w:r w:rsidRPr="008244EF">
        <w:rPr>
          <w:rFonts w:ascii="Times" w:hAnsi="Times"/>
          <w:color w:val="000000" w:themeColor="text1"/>
          <w:sz w:val="22"/>
        </w:rPr>
        <w:t xml:space="preserve"> </w:t>
      </w:r>
      <w:r w:rsidR="00B32280" w:rsidRPr="008244EF">
        <w:rPr>
          <w:rFonts w:ascii="Times" w:hAnsi="Times"/>
          <w:color w:val="000000" w:themeColor="text1"/>
          <w:sz w:val="22"/>
        </w:rPr>
        <w:t>-</w:t>
      </w:r>
      <w:r w:rsidRPr="008244EF">
        <w:rPr>
          <w:rFonts w:ascii="Times" w:hAnsi="Times"/>
          <w:color w:val="000000" w:themeColor="text1"/>
          <w:sz w:val="22"/>
        </w:rPr>
        <w:t xml:space="preserve"> </w:t>
      </w:r>
      <w:r w:rsidRPr="00663F29">
        <w:rPr>
          <w:rFonts w:ascii="Times" w:hAnsi="Times"/>
          <w:sz w:val="22"/>
        </w:rPr>
        <w:t xml:space="preserve">Dans le cadre de cette coopération, nous souhaitons que la Commission soit également autorisée à conditionner l'octroi de visas aux ressortissants des États tiers à la mise en œuvre effective des accords de réadmission. En cas de persistance </w:t>
      </w:r>
      <w:r w:rsidRPr="00663F29">
        <w:rPr>
          <w:rFonts w:ascii="Times" w:hAnsi="Times"/>
          <w:sz w:val="22"/>
          <w:u w:val="single"/>
        </w:rPr>
        <w:t>volontaire</w:t>
      </w:r>
      <w:r w:rsidRPr="00663F29">
        <w:rPr>
          <w:rFonts w:ascii="Times" w:hAnsi="Times"/>
          <w:sz w:val="22"/>
        </w:rPr>
        <w:t xml:space="preserve"> du non-respect de ces accords, la Commission sera également en mesure de suspendre partiellement ou intégralement </w:t>
      </w:r>
      <w:r w:rsidR="005B769C" w:rsidRPr="004E45F7">
        <w:rPr>
          <w:rFonts w:ascii="Times" w:hAnsi="Times"/>
          <w:i/>
          <w:iCs/>
          <w:sz w:val="22"/>
        </w:rPr>
        <w:t>l'instrument de voisinage, de coopération au développement et de coopération internationale</w:t>
      </w:r>
      <w:r w:rsidR="000626CF">
        <w:rPr>
          <w:rStyle w:val="FootnoteReference"/>
          <w:rFonts w:ascii="Times" w:hAnsi="Times"/>
          <w:i/>
          <w:iCs/>
          <w:sz w:val="22"/>
        </w:rPr>
        <w:footnoteReference w:id="10"/>
      </w:r>
      <w:r w:rsidR="005B769C">
        <w:rPr>
          <w:rFonts w:ascii="Times" w:hAnsi="Times"/>
          <w:sz w:val="22"/>
        </w:rPr>
        <w:t xml:space="preserve"> </w:t>
      </w:r>
      <w:r w:rsidRPr="00663F29">
        <w:rPr>
          <w:rFonts w:ascii="Times" w:hAnsi="Times"/>
          <w:sz w:val="22"/>
        </w:rPr>
        <w:t>accordé à ces États. Néanmoins</w:t>
      </w:r>
      <w:r w:rsidR="00D64109" w:rsidRPr="00663F29">
        <w:rPr>
          <w:rFonts w:ascii="Times" w:hAnsi="Times"/>
          <w:sz w:val="22"/>
        </w:rPr>
        <w:t>, nous mettons l’accent sur l’</w:t>
      </w:r>
      <w:r w:rsidRPr="00663F29">
        <w:rPr>
          <w:rFonts w:ascii="Times" w:hAnsi="Times"/>
          <w:sz w:val="22"/>
        </w:rPr>
        <w:t xml:space="preserve">importance de prendre en compte la situation politique et socio-économique du pays avant toute décision de suspension des aides. </w:t>
      </w:r>
    </w:p>
    <w:p w14:paraId="7EADC928" w14:textId="17DF2887" w:rsidR="00411836" w:rsidRPr="00663F29" w:rsidRDefault="001B469B" w:rsidP="004602F7">
      <w:pPr>
        <w:spacing w:after="120" w:line="264" w:lineRule="auto"/>
        <w:ind w:firstLine="708"/>
        <w:jc w:val="both"/>
        <w:rPr>
          <w:rFonts w:ascii="Times" w:hAnsi="Times"/>
          <w:sz w:val="22"/>
        </w:rPr>
      </w:pPr>
      <w:r w:rsidRPr="008244EF">
        <w:rPr>
          <w:rFonts w:ascii="Times" w:hAnsi="Times"/>
          <w:b/>
          <w:bCs/>
          <w:color w:val="000000" w:themeColor="text1"/>
          <w:sz w:val="22"/>
        </w:rPr>
        <w:t>Conditions de rétention (Article 21.1)</w:t>
      </w:r>
      <w:r w:rsidRPr="008244EF">
        <w:rPr>
          <w:rFonts w:ascii="Times" w:hAnsi="Times"/>
          <w:color w:val="000000" w:themeColor="text1"/>
          <w:sz w:val="22"/>
        </w:rPr>
        <w:t> </w:t>
      </w:r>
      <w:r w:rsidR="00B32280" w:rsidRPr="008244EF">
        <w:rPr>
          <w:rFonts w:ascii="Times" w:hAnsi="Times"/>
          <w:color w:val="000000" w:themeColor="text1"/>
          <w:sz w:val="22"/>
        </w:rPr>
        <w:t xml:space="preserve">- </w:t>
      </w:r>
      <w:r w:rsidRPr="00663F29">
        <w:rPr>
          <w:rFonts w:ascii="Times" w:hAnsi="Times"/>
          <w:sz w:val="22"/>
        </w:rPr>
        <w:t xml:space="preserve">Le groupe Renew souhaite s’assurer que la rétention des demandeurs </w:t>
      </w:r>
      <w:r w:rsidRPr="00EF77BF">
        <w:rPr>
          <w:rFonts w:ascii="Times" w:hAnsi="Times"/>
          <w:sz w:val="22"/>
        </w:rPr>
        <w:t>d’asile s’effectue</w:t>
      </w:r>
      <w:r w:rsidR="00EF77BF">
        <w:rPr>
          <w:rFonts w:ascii="Times" w:hAnsi="Times"/>
          <w:sz w:val="22"/>
        </w:rPr>
        <w:t xml:space="preserve"> </w:t>
      </w:r>
      <w:r w:rsidRPr="00663F29">
        <w:rPr>
          <w:rFonts w:ascii="Times" w:hAnsi="Times"/>
          <w:sz w:val="22"/>
          <w:u w:val="single"/>
        </w:rPr>
        <w:t>impérativement</w:t>
      </w:r>
      <w:r w:rsidRPr="00663F29">
        <w:rPr>
          <w:rFonts w:ascii="Times" w:hAnsi="Times"/>
          <w:sz w:val="22"/>
        </w:rPr>
        <w:t xml:space="preserve"> dans des centres spécialisés, afin de garantir la bonne application des conditions de rétention, et le respect des ressortissants d</w:t>
      </w:r>
      <w:r w:rsidR="006B366F">
        <w:rPr>
          <w:rFonts w:ascii="Times" w:hAnsi="Times"/>
          <w:sz w:val="22"/>
        </w:rPr>
        <w:t xml:space="preserve">’États </w:t>
      </w:r>
      <w:r w:rsidRPr="00663F29">
        <w:rPr>
          <w:rFonts w:ascii="Times" w:hAnsi="Times"/>
          <w:sz w:val="22"/>
        </w:rPr>
        <w:t xml:space="preserve">tiers. Si la rétention en centre spécialisé n'est pas </w:t>
      </w:r>
      <w:r w:rsidR="004165AC" w:rsidRPr="00663F29">
        <w:rPr>
          <w:rFonts w:ascii="Times" w:hAnsi="Times"/>
          <w:sz w:val="22"/>
        </w:rPr>
        <w:t>réalisable</w:t>
      </w:r>
      <w:r w:rsidRPr="00663F29">
        <w:rPr>
          <w:rFonts w:ascii="Times" w:hAnsi="Times"/>
          <w:sz w:val="22"/>
        </w:rPr>
        <w:t>, il est</w:t>
      </w:r>
      <w:r w:rsidR="004165AC">
        <w:rPr>
          <w:rFonts w:ascii="Times" w:hAnsi="Times"/>
          <w:sz w:val="22"/>
        </w:rPr>
        <w:t xml:space="preserve"> alors</w:t>
      </w:r>
      <w:r w:rsidRPr="00663F29">
        <w:rPr>
          <w:rFonts w:ascii="Times" w:hAnsi="Times"/>
          <w:sz w:val="22"/>
        </w:rPr>
        <w:t xml:space="preserve"> impératif de distinguer les ressortissants et les détenus de droit commun au sein des établissements pénitenciers. </w:t>
      </w:r>
    </w:p>
    <w:p w14:paraId="73B65D30" w14:textId="49FE15BC" w:rsidR="00271B85" w:rsidRPr="005103D8" w:rsidRDefault="001B469B" w:rsidP="005103D8">
      <w:pPr>
        <w:spacing w:line="264" w:lineRule="auto"/>
        <w:ind w:firstLine="708"/>
        <w:jc w:val="both"/>
        <w:rPr>
          <w:rFonts w:ascii="Times" w:hAnsi="Times"/>
          <w:sz w:val="22"/>
        </w:rPr>
      </w:pPr>
      <w:r w:rsidRPr="008244EF">
        <w:rPr>
          <w:rFonts w:ascii="Times" w:hAnsi="Times"/>
          <w:b/>
          <w:bCs/>
          <w:color w:val="000000" w:themeColor="text1"/>
          <w:sz w:val="22"/>
        </w:rPr>
        <w:t>Conditions de rétention des mineurs (Article 22)</w:t>
      </w:r>
      <w:r w:rsidRPr="008244EF">
        <w:rPr>
          <w:rFonts w:ascii="Times" w:hAnsi="Times"/>
          <w:color w:val="000000" w:themeColor="text1"/>
          <w:sz w:val="22"/>
        </w:rPr>
        <w:t> </w:t>
      </w:r>
      <w:r w:rsidR="00B32280" w:rsidRPr="008244EF">
        <w:rPr>
          <w:rFonts w:ascii="Times" w:hAnsi="Times"/>
          <w:color w:val="000000" w:themeColor="text1"/>
          <w:sz w:val="22"/>
        </w:rPr>
        <w:t>-</w:t>
      </w:r>
      <w:r w:rsidRPr="008244EF">
        <w:rPr>
          <w:rFonts w:ascii="Times" w:hAnsi="Times"/>
          <w:color w:val="000000" w:themeColor="text1"/>
          <w:sz w:val="22"/>
        </w:rPr>
        <w:t xml:space="preserve"> </w:t>
      </w:r>
      <w:r w:rsidRPr="00663F29">
        <w:rPr>
          <w:rFonts w:ascii="Times" w:hAnsi="Times"/>
          <w:sz w:val="22"/>
        </w:rPr>
        <w:t xml:space="preserve">Conformément à l’intérêt supérieur de l’enfant, le groupe Renew souhaite garantir aux demandeurs d’asiles mineurs dans l’attente </w:t>
      </w:r>
      <w:r w:rsidR="00905B2E">
        <w:rPr>
          <w:rFonts w:ascii="Times" w:hAnsi="Times"/>
          <w:sz w:val="22"/>
        </w:rPr>
        <w:t>de leur</w:t>
      </w:r>
      <w:r w:rsidRPr="00663F29">
        <w:rPr>
          <w:rFonts w:ascii="Times" w:hAnsi="Times"/>
          <w:sz w:val="22"/>
        </w:rPr>
        <w:t xml:space="preserve"> retour : un accès incontestable à l’éducation </w:t>
      </w:r>
      <w:r w:rsidR="00D572CA">
        <w:rPr>
          <w:rFonts w:ascii="Times" w:hAnsi="Times"/>
          <w:sz w:val="22"/>
        </w:rPr>
        <w:t xml:space="preserve">et </w:t>
      </w:r>
      <w:r w:rsidRPr="00663F29">
        <w:rPr>
          <w:rFonts w:ascii="Times" w:hAnsi="Times"/>
          <w:sz w:val="22"/>
        </w:rPr>
        <w:t xml:space="preserve">un hébergement dans des </w:t>
      </w:r>
      <w:r w:rsidRPr="008858F9">
        <w:rPr>
          <w:rFonts w:ascii="Times New Roman" w:hAnsi="Times New Roman" w:cs="Times New Roman"/>
          <w:sz w:val="22"/>
        </w:rPr>
        <w:t>institutions disposant d’un personnel et d’installations adaptés</w:t>
      </w:r>
      <w:r w:rsidR="00316FC3">
        <w:rPr>
          <w:rFonts w:ascii="Times New Roman" w:hAnsi="Times New Roman" w:cs="Times New Roman"/>
          <w:sz w:val="22"/>
        </w:rPr>
        <w:t xml:space="preserve">. </w:t>
      </w:r>
      <w:r w:rsidR="00316FC3" w:rsidRPr="00316FC3">
        <w:rPr>
          <w:rFonts w:ascii="Times New Roman" w:hAnsi="Times New Roman" w:cs="Times New Roman"/>
          <w:sz w:val="22"/>
        </w:rPr>
        <w:t xml:space="preserve">Nous </w:t>
      </w:r>
      <w:r w:rsidR="00316FC3">
        <w:rPr>
          <w:rFonts w:ascii="Times New Roman" w:hAnsi="Times New Roman" w:cs="Times New Roman"/>
          <w:sz w:val="22"/>
        </w:rPr>
        <w:t>souhaitons</w:t>
      </w:r>
      <w:r w:rsidR="00316FC3" w:rsidRPr="00316FC3">
        <w:rPr>
          <w:rFonts w:ascii="Times New Roman" w:hAnsi="Times New Roman" w:cs="Times New Roman"/>
          <w:sz w:val="22"/>
        </w:rPr>
        <w:t xml:space="preserve"> également interdire la </w:t>
      </w:r>
      <w:r w:rsidR="008F5E87">
        <w:rPr>
          <w:rFonts w:ascii="Times New Roman" w:hAnsi="Times New Roman" w:cs="Times New Roman"/>
          <w:sz w:val="22"/>
        </w:rPr>
        <w:t>rétention</w:t>
      </w:r>
      <w:r w:rsidR="00316FC3" w:rsidRPr="00316FC3">
        <w:rPr>
          <w:rFonts w:ascii="Times New Roman" w:hAnsi="Times New Roman" w:cs="Times New Roman"/>
          <w:sz w:val="22"/>
        </w:rPr>
        <w:t xml:space="preserve"> pour les enfants de moins de 15 ans</w:t>
      </w:r>
      <w:r w:rsidR="00C13D53">
        <w:rPr>
          <w:rFonts w:ascii="Times New Roman" w:hAnsi="Times New Roman" w:cs="Times New Roman"/>
          <w:sz w:val="22"/>
        </w:rPr>
        <w:t xml:space="preserve"> (</w:t>
      </w:r>
      <w:r w:rsidR="00C13D53">
        <w:rPr>
          <w:rFonts w:ascii="Times New Roman" w:hAnsi="Times New Roman" w:cs="Times New Roman"/>
          <w:color w:val="0F0F0F"/>
          <w:sz w:val="22"/>
        </w:rPr>
        <w:t>l</w:t>
      </w:r>
      <w:r w:rsidR="00C13D53" w:rsidRPr="008858F9">
        <w:rPr>
          <w:rFonts w:ascii="Times New Roman" w:hAnsi="Times New Roman" w:cs="Times New Roman"/>
          <w:color w:val="0F0F0F"/>
          <w:sz w:val="22"/>
        </w:rPr>
        <w:t xml:space="preserve">'âge minimum légal pour travailler </w:t>
      </w:r>
      <w:r w:rsidR="00C13D53">
        <w:rPr>
          <w:rFonts w:ascii="Times New Roman" w:hAnsi="Times New Roman" w:cs="Times New Roman"/>
          <w:color w:val="0F0F0F"/>
          <w:sz w:val="22"/>
        </w:rPr>
        <w:t xml:space="preserve">et </w:t>
      </w:r>
      <w:r w:rsidR="002470E2">
        <w:rPr>
          <w:rFonts w:ascii="Times New Roman" w:hAnsi="Times New Roman" w:cs="Times New Roman"/>
          <w:color w:val="0F0F0F"/>
          <w:sz w:val="22"/>
        </w:rPr>
        <w:t>mettre fin à la scolarité</w:t>
      </w:r>
      <w:r w:rsidR="00C13D53">
        <w:rPr>
          <w:rFonts w:ascii="Times New Roman" w:hAnsi="Times New Roman" w:cs="Times New Roman"/>
          <w:color w:val="0F0F0F"/>
          <w:sz w:val="22"/>
        </w:rPr>
        <w:t xml:space="preserve"> </w:t>
      </w:r>
      <w:r w:rsidR="00C13D53" w:rsidRPr="008858F9">
        <w:rPr>
          <w:rFonts w:ascii="Times New Roman" w:hAnsi="Times New Roman" w:cs="Times New Roman"/>
          <w:color w:val="0F0F0F"/>
          <w:sz w:val="22"/>
        </w:rPr>
        <w:t xml:space="preserve">en Europe </w:t>
      </w:r>
      <w:r w:rsidR="00C13D53">
        <w:rPr>
          <w:rFonts w:ascii="Times New Roman" w:hAnsi="Times New Roman" w:cs="Times New Roman"/>
          <w:color w:val="0F0F0F"/>
          <w:sz w:val="22"/>
        </w:rPr>
        <w:t>étant</w:t>
      </w:r>
      <w:r w:rsidR="00C13D53" w:rsidRPr="008858F9">
        <w:rPr>
          <w:rFonts w:ascii="Times New Roman" w:hAnsi="Times New Roman" w:cs="Times New Roman"/>
          <w:color w:val="0F0F0F"/>
          <w:sz w:val="22"/>
        </w:rPr>
        <w:t xml:space="preserve"> </w:t>
      </w:r>
      <w:r w:rsidR="00C13D53">
        <w:rPr>
          <w:rFonts w:ascii="Times New Roman" w:hAnsi="Times New Roman" w:cs="Times New Roman"/>
          <w:color w:val="0F0F0F"/>
          <w:sz w:val="22"/>
        </w:rPr>
        <w:t>généralement</w:t>
      </w:r>
      <w:r w:rsidR="00C13D53" w:rsidRPr="008858F9">
        <w:rPr>
          <w:rFonts w:ascii="Times New Roman" w:hAnsi="Times New Roman" w:cs="Times New Roman"/>
          <w:color w:val="0F0F0F"/>
          <w:sz w:val="22"/>
        </w:rPr>
        <w:t xml:space="preserve"> compris entre 15 et 16 ans</w:t>
      </w:r>
      <w:r w:rsidR="00C13D53">
        <w:rPr>
          <w:rFonts w:ascii="Times New Roman" w:hAnsi="Times New Roman" w:cs="Times New Roman"/>
          <w:color w:val="0F0F0F"/>
          <w:sz w:val="22"/>
        </w:rPr>
        <w:t>)</w:t>
      </w:r>
      <w:r w:rsidR="00FC6294">
        <w:rPr>
          <w:rStyle w:val="FootnoteReference"/>
          <w:rFonts w:ascii="Times New Roman" w:hAnsi="Times New Roman" w:cs="Times New Roman"/>
          <w:color w:val="0F0F0F"/>
          <w:sz w:val="22"/>
        </w:rPr>
        <w:footnoteReference w:id="11"/>
      </w:r>
      <w:r w:rsidR="00316FC3" w:rsidRPr="00316FC3">
        <w:rPr>
          <w:rFonts w:ascii="Times New Roman" w:hAnsi="Times New Roman" w:cs="Times New Roman"/>
          <w:sz w:val="22"/>
        </w:rPr>
        <w:t>. Quant aux mineurs âgés de 15 ans et plus, nous proposons une rétention</w:t>
      </w:r>
      <w:r w:rsidR="000657C2">
        <w:rPr>
          <w:rFonts w:ascii="Times New Roman" w:hAnsi="Times New Roman" w:cs="Times New Roman"/>
          <w:sz w:val="22"/>
        </w:rPr>
        <w:t xml:space="preserve"> </w:t>
      </w:r>
      <w:r w:rsidR="00A76118" w:rsidRPr="00553503">
        <w:rPr>
          <w:rFonts w:ascii="Times New Roman" w:hAnsi="Times New Roman" w:cs="Times New Roman"/>
          <w:sz w:val="22"/>
          <w:u w:val="single"/>
        </w:rPr>
        <w:t xml:space="preserve">strictement </w:t>
      </w:r>
      <w:r w:rsidR="00316FC3" w:rsidRPr="00553503">
        <w:rPr>
          <w:rFonts w:ascii="Times New Roman" w:hAnsi="Times New Roman" w:cs="Times New Roman"/>
          <w:sz w:val="22"/>
          <w:u w:val="single"/>
        </w:rPr>
        <w:t>limitée</w:t>
      </w:r>
      <w:r w:rsidR="00316FC3" w:rsidRPr="00316FC3">
        <w:rPr>
          <w:rFonts w:ascii="Times New Roman" w:hAnsi="Times New Roman" w:cs="Times New Roman"/>
          <w:sz w:val="22"/>
        </w:rPr>
        <w:t xml:space="preserve"> à 15 jours, autorisée </w:t>
      </w:r>
      <w:r w:rsidR="00316FC3" w:rsidRPr="003245A0">
        <w:rPr>
          <w:rFonts w:ascii="Times New Roman" w:hAnsi="Times New Roman" w:cs="Times New Roman"/>
          <w:sz w:val="22"/>
          <w:u w:val="single"/>
        </w:rPr>
        <w:t>uniquement</w:t>
      </w:r>
      <w:r w:rsidR="00316FC3" w:rsidRPr="00316FC3">
        <w:rPr>
          <w:rFonts w:ascii="Times New Roman" w:hAnsi="Times New Roman" w:cs="Times New Roman"/>
          <w:sz w:val="22"/>
        </w:rPr>
        <w:t xml:space="preserve"> en cas de menace avérée pour la sécurité publique ou nationale, et </w:t>
      </w:r>
      <w:r w:rsidR="00851251">
        <w:rPr>
          <w:rFonts w:ascii="Times New Roman" w:hAnsi="Times New Roman" w:cs="Times New Roman"/>
          <w:sz w:val="22"/>
        </w:rPr>
        <w:t xml:space="preserve">se faisant </w:t>
      </w:r>
      <w:r w:rsidR="00316FC3" w:rsidRPr="00553503">
        <w:rPr>
          <w:rFonts w:ascii="Times New Roman" w:hAnsi="Times New Roman" w:cs="Times New Roman"/>
          <w:sz w:val="22"/>
          <w:u w:val="single"/>
        </w:rPr>
        <w:t>exclusivement</w:t>
      </w:r>
      <w:r w:rsidR="00316FC3" w:rsidRPr="00316FC3">
        <w:rPr>
          <w:rFonts w:ascii="Times New Roman" w:hAnsi="Times New Roman" w:cs="Times New Roman"/>
          <w:sz w:val="22"/>
        </w:rPr>
        <w:t xml:space="preserve"> dans des centres spécialisés.</w:t>
      </w:r>
    </w:p>
    <w:sectPr w:rsidR="00271B85" w:rsidRPr="005103D8" w:rsidSect="00641355">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1D07E" w14:textId="77777777" w:rsidR="00CC2454" w:rsidRDefault="00CC2454" w:rsidP="00602FD4">
      <w:r>
        <w:separator/>
      </w:r>
    </w:p>
  </w:endnote>
  <w:endnote w:type="continuationSeparator" w:id="0">
    <w:p w14:paraId="65348C28" w14:textId="77777777" w:rsidR="00CC2454" w:rsidRDefault="00CC2454" w:rsidP="0060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bas Neue">
    <w:panose1 w:val="020B0606020202050201"/>
    <w:charset w:val="4D"/>
    <w:family w:val="swiss"/>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161B" w14:textId="77777777" w:rsidR="00602FD4" w:rsidRDefault="00271B85">
    <w:pPr>
      <w:pStyle w:val="Footer"/>
    </w:pPr>
    <w:r>
      <w:rPr>
        <w:noProof/>
      </w:rPr>
      <w:drawing>
        <wp:anchor distT="0" distB="0" distL="114300" distR="114300" simplePos="0" relativeHeight="251659264" behindDoc="0" locked="0" layoutInCell="1" allowOverlap="1" wp14:anchorId="2DAF69A0" wp14:editId="3D73EEA0">
          <wp:simplePos x="0" y="0"/>
          <wp:positionH relativeFrom="column">
            <wp:posOffset>1990892</wp:posOffset>
          </wp:positionH>
          <wp:positionV relativeFrom="paragraph">
            <wp:posOffset>-2332956</wp:posOffset>
          </wp:positionV>
          <wp:extent cx="5279281" cy="3490819"/>
          <wp:effectExtent l="0" t="0" r="4445" b="19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1" cstate="print">
                    <a:duotone>
                      <a:schemeClr val="accent1">
                        <a:shade val="45000"/>
                        <a:satMod val="135000"/>
                      </a:schemeClr>
                      <a:prstClr val="white"/>
                    </a:duotone>
                    <a:extLst>
                      <a:ext uri="{BEBA8EAE-BF5A-486C-A8C5-ECC9F3942E4B}">
                        <a14:imgProps xmlns:a14="http://schemas.microsoft.com/office/drawing/2010/main">
                          <a14:imgLayer r:embed="rId2">
                            <a14:imgEffect>
                              <a14:artisticPaintStrokes/>
                            </a14:imgEffect>
                            <a14:imgEffect>
                              <a14:sharpenSoften amount="-89000"/>
                            </a14:imgEffect>
                            <a14:imgEffect>
                              <a14:brightnessContrast bright="10000"/>
                            </a14:imgEffect>
                          </a14:imgLayer>
                        </a14:imgProps>
                      </a:ext>
                      <a:ext uri="{28A0092B-C50C-407E-A947-70E740481C1C}">
                        <a14:useLocalDpi xmlns:a14="http://schemas.microsoft.com/office/drawing/2010/main" val="0"/>
                      </a:ext>
                    </a:extLst>
                  </a:blip>
                  <a:stretch>
                    <a:fillRect/>
                  </a:stretch>
                </pic:blipFill>
                <pic:spPr>
                  <a:xfrm>
                    <a:off x="0" y="0"/>
                    <a:ext cx="5279281" cy="349081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B0AA4" w14:textId="77777777" w:rsidR="00CC2454" w:rsidRDefault="00CC2454" w:rsidP="00602FD4">
      <w:r>
        <w:separator/>
      </w:r>
    </w:p>
  </w:footnote>
  <w:footnote w:type="continuationSeparator" w:id="0">
    <w:p w14:paraId="773D6DAB" w14:textId="77777777" w:rsidR="00CC2454" w:rsidRDefault="00CC2454" w:rsidP="00602FD4">
      <w:r>
        <w:continuationSeparator/>
      </w:r>
    </w:p>
  </w:footnote>
  <w:footnote w:id="1">
    <w:p w14:paraId="1ABB70D3" w14:textId="77777777" w:rsidR="001B469B" w:rsidRPr="00AF1BBB" w:rsidRDefault="001B469B" w:rsidP="00663F29">
      <w:pPr>
        <w:pStyle w:val="FootnoteText"/>
        <w:spacing w:after="0"/>
        <w:rPr>
          <w:color w:val="1E5E9F" w:themeColor="accent3" w:themeShade="BF"/>
          <w:sz w:val="18"/>
          <w:szCs w:val="18"/>
        </w:rPr>
      </w:pPr>
      <w:r w:rsidRPr="00AF1BBB">
        <w:rPr>
          <w:rStyle w:val="FootnoteReference"/>
          <w:sz w:val="18"/>
          <w:szCs w:val="18"/>
        </w:rPr>
        <w:footnoteRef/>
      </w:r>
      <w:r w:rsidRPr="00AF1BBB">
        <w:rPr>
          <w:color w:val="1E5E9F" w:themeColor="accent3" w:themeShade="BF"/>
          <w:sz w:val="18"/>
          <w:szCs w:val="18"/>
        </w:rPr>
        <w:t xml:space="preserve"> </w:t>
      </w:r>
      <w:hyperlink r:id="rId1" w:history="1">
        <w:r w:rsidRPr="00AF1BBB">
          <w:rPr>
            <w:rStyle w:val="Hyperlink"/>
            <w:color w:val="1E5E9F" w:themeColor="accent3" w:themeShade="BF"/>
            <w:sz w:val="18"/>
            <w:szCs w:val="18"/>
          </w:rPr>
          <w:t>https://european-union.europa.eu/principles-countries-history/key-facts-and-figures/life-eu_fr</w:t>
        </w:r>
      </w:hyperlink>
    </w:p>
  </w:footnote>
  <w:footnote w:id="2">
    <w:p w14:paraId="23E3FEE9" w14:textId="77777777" w:rsidR="001B469B" w:rsidRPr="00AF1BBB" w:rsidRDefault="001B469B" w:rsidP="00663F29">
      <w:pPr>
        <w:pStyle w:val="FootnoteText"/>
        <w:spacing w:after="0"/>
        <w:rPr>
          <w:color w:val="1E5E9F" w:themeColor="accent3" w:themeShade="BF"/>
          <w:sz w:val="18"/>
          <w:szCs w:val="18"/>
        </w:rPr>
      </w:pPr>
      <w:r w:rsidRPr="00AF1BBB">
        <w:rPr>
          <w:rStyle w:val="FootnoteReference"/>
          <w:color w:val="1E5E9F" w:themeColor="accent3" w:themeShade="BF"/>
          <w:sz w:val="18"/>
          <w:szCs w:val="18"/>
        </w:rPr>
        <w:footnoteRef/>
      </w:r>
      <w:r w:rsidRPr="00AF1BBB">
        <w:rPr>
          <w:color w:val="1E5E9F" w:themeColor="accent3" w:themeShade="BF"/>
          <w:sz w:val="18"/>
          <w:szCs w:val="18"/>
        </w:rPr>
        <w:t xml:space="preserve"> </w:t>
      </w:r>
      <w:hyperlink r:id="rId2" w:history="1">
        <w:r w:rsidRPr="00AF1BBB">
          <w:rPr>
            <w:rStyle w:val="Hyperlink"/>
            <w:color w:val="1E5E9F" w:themeColor="accent3" w:themeShade="BF"/>
            <w:sz w:val="18"/>
            <w:szCs w:val="18"/>
          </w:rPr>
          <w:t>https://missingmigrants.iom.int/fr/region/mediterranee</w:t>
        </w:r>
      </w:hyperlink>
    </w:p>
  </w:footnote>
  <w:footnote w:id="3">
    <w:p w14:paraId="7CB6E338" w14:textId="77777777" w:rsidR="001B469B" w:rsidRPr="00AF1BBB" w:rsidRDefault="001B469B" w:rsidP="00663F29">
      <w:pPr>
        <w:pStyle w:val="FootnoteText"/>
        <w:spacing w:after="0"/>
        <w:rPr>
          <w:color w:val="1E5E9F" w:themeColor="accent3" w:themeShade="BF"/>
          <w:sz w:val="18"/>
          <w:szCs w:val="18"/>
        </w:rPr>
      </w:pPr>
      <w:r w:rsidRPr="00AF1BBB">
        <w:rPr>
          <w:rStyle w:val="FootnoteReference"/>
          <w:color w:val="1E5E9F" w:themeColor="accent3" w:themeShade="BF"/>
          <w:sz w:val="18"/>
          <w:szCs w:val="18"/>
        </w:rPr>
        <w:footnoteRef/>
      </w:r>
      <w:r w:rsidRPr="00AF1BBB">
        <w:rPr>
          <w:color w:val="1E5E9F" w:themeColor="accent3" w:themeShade="BF"/>
          <w:sz w:val="18"/>
          <w:szCs w:val="18"/>
        </w:rPr>
        <w:t xml:space="preserve"> </w:t>
      </w:r>
      <w:hyperlink r:id="rId3" w:history="1">
        <w:r w:rsidRPr="00AF1BBB">
          <w:rPr>
            <w:rStyle w:val="Hyperlink"/>
            <w:color w:val="1E5E9F" w:themeColor="accent3" w:themeShade="BF"/>
            <w:sz w:val="18"/>
            <w:szCs w:val="18"/>
          </w:rPr>
          <w:t>https://www.europarl.europa.eu/doceo/document/CRE-9-2023-10-04-INT-3-031-0000_FR.html</w:t>
        </w:r>
      </w:hyperlink>
    </w:p>
  </w:footnote>
  <w:footnote w:id="4">
    <w:p w14:paraId="0F37CC7D" w14:textId="77777777" w:rsidR="001B469B" w:rsidRDefault="001B469B" w:rsidP="00663F29">
      <w:pPr>
        <w:pStyle w:val="FootnoteText"/>
        <w:spacing w:after="0"/>
      </w:pPr>
      <w:r w:rsidRPr="00AF1BBB">
        <w:rPr>
          <w:rStyle w:val="FootnoteReference"/>
          <w:color w:val="1E5E9F" w:themeColor="accent3" w:themeShade="BF"/>
          <w:sz w:val="18"/>
          <w:szCs w:val="18"/>
        </w:rPr>
        <w:footnoteRef/>
      </w:r>
      <w:r w:rsidRPr="00AF1BBB">
        <w:rPr>
          <w:color w:val="1E5E9F" w:themeColor="accent3" w:themeShade="BF"/>
          <w:sz w:val="18"/>
          <w:szCs w:val="18"/>
        </w:rPr>
        <w:t xml:space="preserve"> </w:t>
      </w:r>
      <w:hyperlink r:id="rId4" w:history="1">
        <w:r w:rsidRPr="00AF1BBB">
          <w:rPr>
            <w:rStyle w:val="Hyperlink"/>
            <w:color w:val="1E5E9F" w:themeColor="accent3" w:themeShade="BF"/>
            <w:sz w:val="18"/>
            <w:szCs w:val="18"/>
          </w:rPr>
          <w:t>https://www.reneweuropegroup.eu/fr/policies/2020-01-07/renew-europe-vision-for-asylum-and-migration</w:t>
        </w:r>
      </w:hyperlink>
    </w:p>
  </w:footnote>
  <w:footnote w:id="5">
    <w:p w14:paraId="6AAC9586" w14:textId="77777777" w:rsidR="001B469B" w:rsidRPr="00AF1BBB" w:rsidRDefault="001B469B" w:rsidP="00FC6294">
      <w:pPr>
        <w:pStyle w:val="FootnoteText"/>
        <w:spacing w:after="0"/>
        <w:rPr>
          <w:color w:val="1E5E9F" w:themeColor="accent3" w:themeShade="BF"/>
          <w:sz w:val="18"/>
          <w:szCs w:val="18"/>
        </w:rPr>
      </w:pPr>
      <w:r w:rsidRPr="00AF1BBB">
        <w:rPr>
          <w:rStyle w:val="FootnoteReference"/>
          <w:sz w:val="18"/>
          <w:szCs w:val="18"/>
        </w:rPr>
        <w:footnoteRef/>
      </w:r>
      <w:r w:rsidRPr="00AF1BBB">
        <w:rPr>
          <w:sz w:val="18"/>
          <w:szCs w:val="18"/>
        </w:rPr>
        <w:t xml:space="preserve"> </w:t>
      </w:r>
      <w:hyperlink r:id="rId5" w:history="1">
        <w:r w:rsidRPr="00AF1BBB">
          <w:rPr>
            <w:rStyle w:val="Hyperlink"/>
            <w:color w:val="1E5E9F" w:themeColor="accent3" w:themeShade="BF"/>
            <w:sz w:val="18"/>
            <w:szCs w:val="18"/>
          </w:rPr>
          <w:t>https://www.iom.int/sites/g/files/tmzbdl486/files/our_work/ICP/IDM/IML3_fren.pdf</w:t>
        </w:r>
      </w:hyperlink>
    </w:p>
  </w:footnote>
  <w:footnote w:id="6">
    <w:p w14:paraId="79F125C5" w14:textId="77777777" w:rsidR="001B469B" w:rsidRPr="00AF1BBB" w:rsidRDefault="001B469B" w:rsidP="00FC6294">
      <w:pPr>
        <w:pStyle w:val="FootnoteText"/>
        <w:spacing w:after="0"/>
        <w:rPr>
          <w:color w:val="1E5E9F" w:themeColor="accent3" w:themeShade="BF"/>
          <w:sz w:val="18"/>
          <w:szCs w:val="18"/>
        </w:rPr>
      </w:pPr>
      <w:r w:rsidRPr="00AF1BBB">
        <w:rPr>
          <w:rStyle w:val="FootnoteReference"/>
          <w:color w:val="1E5E9F" w:themeColor="accent3" w:themeShade="BF"/>
          <w:sz w:val="18"/>
          <w:szCs w:val="18"/>
        </w:rPr>
        <w:footnoteRef/>
      </w:r>
      <w:r w:rsidRPr="00AF1BBB">
        <w:rPr>
          <w:color w:val="1E5E9F" w:themeColor="accent3" w:themeShade="BF"/>
          <w:sz w:val="18"/>
          <w:szCs w:val="18"/>
        </w:rPr>
        <w:t xml:space="preserve"> </w:t>
      </w:r>
      <w:hyperlink r:id="rId6" w:history="1">
        <w:r w:rsidRPr="00AF1BBB">
          <w:rPr>
            <w:rStyle w:val="Hyperlink"/>
            <w:color w:val="1E5E9F" w:themeColor="accent3" w:themeShade="BF"/>
            <w:sz w:val="18"/>
            <w:szCs w:val="18"/>
          </w:rPr>
          <w:t>https://www.europarl.europa.eu/doceo/document/A-9-2020-0245_FR.html</w:t>
        </w:r>
      </w:hyperlink>
    </w:p>
  </w:footnote>
  <w:footnote w:id="7">
    <w:p w14:paraId="3342EC94" w14:textId="77777777" w:rsidR="001B469B" w:rsidRPr="00AF1BBB" w:rsidRDefault="001B469B" w:rsidP="00FC6294">
      <w:pPr>
        <w:pStyle w:val="FootnoteText"/>
        <w:spacing w:after="0"/>
        <w:rPr>
          <w:color w:val="1E5E9F" w:themeColor="accent3" w:themeShade="BF"/>
          <w:sz w:val="18"/>
          <w:szCs w:val="18"/>
        </w:rPr>
      </w:pPr>
      <w:r w:rsidRPr="00AF1BBB">
        <w:rPr>
          <w:rStyle w:val="FootnoteReference"/>
          <w:color w:val="1E5E9F" w:themeColor="accent3" w:themeShade="BF"/>
          <w:sz w:val="18"/>
          <w:szCs w:val="18"/>
        </w:rPr>
        <w:footnoteRef/>
      </w:r>
      <w:r w:rsidRPr="00AF1BBB">
        <w:rPr>
          <w:color w:val="1E5E9F" w:themeColor="accent3" w:themeShade="BF"/>
          <w:sz w:val="18"/>
          <w:szCs w:val="18"/>
        </w:rPr>
        <w:t xml:space="preserve"> </w:t>
      </w:r>
      <w:hyperlink r:id="rId7" w:history="1">
        <w:r w:rsidRPr="00AF1BBB">
          <w:rPr>
            <w:rStyle w:val="Hyperlink"/>
            <w:color w:val="1E5E9F" w:themeColor="accent3" w:themeShade="BF"/>
            <w:sz w:val="18"/>
            <w:szCs w:val="18"/>
          </w:rPr>
          <w:t>https://www.europarl.europa.eu/doceo/document/TA-9-2020-0361_FR.html</w:t>
        </w:r>
      </w:hyperlink>
    </w:p>
  </w:footnote>
  <w:footnote w:id="8">
    <w:p w14:paraId="297AC6E7" w14:textId="77777777" w:rsidR="001B469B" w:rsidRPr="00AF1BBB" w:rsidRDefault="001B469B" w:rsidP="00FC6294">
      <w:pPr>
        <w:pStyle w:val="FootnoteText"/>
        <w:spacing w:after="0"/>
        <w:rPr>
          <w:color w:val="1E5E9F" w:themeColor="accent3" w:themeShade="BF"/>
          <w:sz w:val="18"/>
          <w:szCs w:val="18"/>
        </w:rPr>
      </w:pPr>
      <w:r w:rsidRPr="00AF1BBB">
        <w:rPr>
          <w:rStyle w:val="FootnoteReference"/>
          <w:color w:val="1E5E9F" w:themeColor="accent3" w:themeShade="BF"/>
          <w:sz w:val="18"/>
          <w:szCs w:val="18"/>
        </w:rPr>
        <w:footnoteRef/>
      </w:r>
      <w:r w:rsidRPr="00AF1BBB">
        <w:rPr>
          <w:color w:val="1E5E9F" w:themeColor="accent3" w:themeShade="BF"/>
          <w:sz w:val="18"/>
          <w:szCs w:val="18"/>
        </w:rPr>
        <w:t xml:space="preserve"> </w:t>
      </w:r>
      <w:hyperlink r:id="rId8" w:history="1">
        <w:r w:rsidRPr="00AF1BBB">
          <w:rPr>
            <w:rStyle w:val="Hyperlink"/>
            <w:color w:val="1E5E9F" w:themeColor="accent3" w:themeShade="BF"/>
            <w:sz w:val="18"/>
            <w:szCs w:val="18"/>
          </w:rPr>
          <w:t>https://www.adej.org/droit-des-mineurs</w:t>
        </w:r>
      </w:hyperlink>
    </w:p>
  </w:footnote>
  <w:footnote w:id="9">
    <w:p w14:paraId="662D5D4A" w14:textId="77777777" w:rsidR="001B469B" w:rsidRPr="00AF1BBB" w:rsidRDefault="001B469B" w:rsidP="00FC6294">
      <w:pPr>
        <w:pStyle w:val="FootnoteText"/>
        <w:spacing w:after="120" w:line="240" w:lineRule="auto"/>
        <w:rPr>
          <w:sz w:val="18"/>
          <w:szCs w:val="18"/>
        </w:rPr>
      </w:pPr>
      <w:r w:rsidRPr="00AF1BBB">
        <w:rPr>
          <w:rStyle w:val="FootnoteReference"/>
          <w:color w:val="1E5E9F" w:themeColor="accent3" w:themeShade="BF"/>
          <w:sz w:val="18"/>
          <w:szCs w:val="18"/>
        </w:rPr>
        <w:footnoteRef/>
      </w:r>
      <w:r w:rsidRPr="00AF1BBB">
        <w:rPr>
          <w:color w:val="1E5E9F" w:themeColor="accent3" w:themeShade="BF"/>
          <w:sz w:val="18"/>
          <w:szCs w:val="18"/>
        </w:rPr>
        <w:t xml:space="preserve"> </w:t>
      </w:r>
      <w:hyperlink r:id="rId9" w:history="1">
        <w:r w:rsidRPr="00AF1BBB">
          <w:rPr>
            <w:rStyle w:val="Hyperlink"/>
            <w:color w:val="1E5E9F" w:themeColor="accent3" w:themeShade="BF"/>
            <w:sz w:val="18"/>
            <w:szCs w:val="18"/>
          </w:rPr>
          <w:t>https://www.reneweuropegroup.eu/fr/news/2023-06-14/safe-and-innovative-ai-rules-a-world-premier-made-in-europe</w:t>
        </w:r>
      </w:hyperlink>
    </w:p>
  </w:footnote>
  <w:footnote w:id="10">
    <w:p w14:paraId="2DD9A143" w14:textId="39CD7A79" w:rsidR="000626CF" w:rsidRPr="000626CF" w:rsidRDefault="000626CF" w:rsidP="00E709D1">
      <w:pPr>
        <w:pStyle w:val="FootnoteText"/>
        <w:spacing w:after="0" w:line="276" w:lineRule="auto"/>
        <w:rPr>
          <w:sz w:val="18"/>
          <w:szCs w:val="18"/>
        </w:rPr>
      </w:pPr>
      <w:r w:rsidRPr="000626CF">
        <w:rPr>
          <w:rStyle w:val="FootnoteReference"/>
          <w:sz w:val="18"/>
          <w:szCs w:val="18"/>
        </w:rPr>
        <w:footnoteRef/>
      </w:r>
      <w:r w:rsidRPr="000626CF">
        <w:rPr>
          <w:sz w:val="18"/>
          <w:szCs w:val="18"/>
        </w:rPr>
        <w:t xml:space="preserve"> </w:t>
      </w:r>
      <w:hyperlink r:id="rId10" w:history="1">
        <w:r w:rsidRPr="000626CF">
          <w:rPr>
            <w:rStyle w:val="Hyperlink"/>
            <w:sz w:val="18"/>
            <w:szCs w:val="18"/>
          </w:rPr>
          <w:t>https://eur-lex.europa.eu/FR/legal-content/summary/global-europe-the-eu-neighbourhood-development-and-international-cooperation-instrument.html</w:t>
        </w:r>
      </w:hyperlink>
    </w:p>
  </w:footnote>
  <w:footnote w:id="11">
    <w:p w14:paraId="6F5C7ADE" w14:textId="0D91A24D" w:rsidR="00FC6294" w:rsidRPr="000626CF" w:rsidRDefault="00FC6294" w:rsidP="00E709D1">
      <w:pPr>
        <w:pStyle w:val="FootnoteText"/>
        <w:spacing w:after="0" w:line="276" w:lineRule="auto"/>
        <w:rPr>
          <w:color w:val="1E5E9F" w:themeColor="accent3" w:themeShade="BF"/>
          <w:sz w:val="18"/>
          <w:szCs w:val="18"/>
        </w:rPr>
      </w:pPr>
      <w:r w:rsidRPr="000626CF">
        <w:rPr>
          <w:rStyle w:val="FootnoteReference"/>
          <w:color w:val="000000" w:themeColor="text1"/>
          <w:sz w:val="18"/>
          <w:szCs w:val="18"/>
        </w:rPr>
        <w:footnoteRef/>
      </w:r>
      <w:r w:rsidRPr="000626CF">
        <w:rPr>
          <w:color w:val="000000" w:themeColor="text1"/>
          <w:sz w:val="18"/>
          <w:szCs w:val="18"/>
        </w:rPr>
        <w:t xml:space="preserve"> </w:t>
      </w:r>
      <w:hyperlink r:id="rId11" w:history="1">
        <w:r w:rsidRPr="000626CF">
          <w:rPr>
            <w:rStyle w:val="Hyperlink"/>
            <w:color w:val="1E5E9F" w:themeColor="accent3" w:themeShade="BF"/>
            <w:sz w:val="18"/>
            <w:szCs w:val="18"/>
          </w:rPr>
          <w:t>https://europa.eu/youreurope/business/human-resources/employment-contracts/teenage-workers/index_fr.htm</w:t>
        </w:r>
      </w:hyperlink>
    </w:p>
    <w:p w14:paraId="76FE22ED" w14:textId="77777777" w:rsidR="00FC6294" w:rsidRDefault="00FC629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DF47" w14:textId="77777777" w:rsidR="00602FD4" w:rsidRPr="00A74686" w:rsidRDefault="00602FD4" w:rsidP="004778EE">
    <w:pPr>
      <w:pStyle w:val="Header"/>
      <w:pBdr>
        <w:bottom w:val="single" w:sz="24" w:space="1" w:color="FFC000"/>
      </w:pBdr>
      <w:tabs>
        <w:tab w:val="clear" w:pos="9072"/>
        <w:tab w:val="right" w:pos="9066"/>
      </w:tabs>
      <w:ind w:left="-1417"/>
      <w:jc w:val="right"/>
      <w:rPr>
        <w:rFonts w:ascii="Bebas Neue" w:hAnsi="Bebas Neue"/>
        <w:b/>
        <w:color w:val="344D8F"/>
        <w:sz w:val="32"/>
        <w:szCs w:val="32"/>
      </w:rPr>
    </w:pPr>
    <w:r w:rsidRPr="00A74686">
      <w:rPr>
        <w:rFonts w:ascii="Bebas Neue" w:hAnsi="Bebas Neue"/>
        <w:b/>
        <w:color w:val="344D8F"/>
        <w:sz w:val="32"/>
        <w:szCs w:val="32"/>
      </w:rPr>
      <w:t xml:space="preserve">BWS · </w:t>
    </w:r>
    <w:r w:rsidR="004778EE" w:rsidRPr="00A74686">
      <w:rPr>
        <w:rFonts w:ascii="Bebas Neue" w:hAnsi="Bebas Neue"/>
        <w:b/>
        <w:color w:val="344D8F"/>
        <w:sz w:val="32"/>
        <w:szCs w:val="32"/>
      </w:rPr>
      <w:t>6</w:t>
    </w:r>
    <w:r w:rsidRPr="00A74686">
      <w:rPr>
        <w:rFonts w:ascii="Bebas Neue" w:hAnsi="Bebas Neue"/>
        <w:b/>
        <w:color w:val="344D8F"/>
        <w:sz w:val="32"/>
        <w:szCs w:val="32"/>
        <w:vertAlign w:val="superscript"/>
      </w:rPr>
      <w:t>e</w:t>
    </w:r>
    <w:r w:rsidRPr="00A74686">
      <w:rPr>
        <w:rFonts w:ascii="Bebas Neue" w:hAnsi="Bebas Neue"/>
        <w:b/>
        <w:color w:val="344D8F"/>
        <w:sz w:val="32"/>
        <w:szCs w:val="32"/>
      </w:rPr>
      <w:t xml:space="preserve"> édition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2CD3"/>
    <w:multiLevelType w:val="hybridMultilevel"/>
    <w:tmpl w:val="518E3352"/>
    <w:lvl w:ilvl="0" w:tplc="178CDC12">
      <w:start w:val="3"/>
      <w:numFmt w:val="bullet"/>
      <w:lvlText w:val="-"/>
      <w:lvlJc w:val="left"/>
      <w:pPr>
        <w:ind w:left="1068" w:hanging="360"/>
      </w:pPr>
      <w:rPr>
        <w:rFonts w:ascii="Times" w:eastAsiaTheme="minorEastAsia" w:hAnsi="Times" w:cstheme="minorBid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15:restartNumberingAfterBreak="0">
    <w:nsid w:val="0AC13BFB"/>
    <w:multiLevelType w:val="hybridMultilevel"/>
    <w:tmpl w:val="947834E4"/>
    <w:lvl w:ilvl="0" w:tplc="37C29834">
      <w:start w:val="3"/>
      <w:numFmt w:val="bullet"/>
      <w:lvlText w:val="-"/>
      <w:lvlJc w:val="left"/>
      <w:pPr>
        <w:ind w:left="720" w:hanging="360"/>
      </w:pPr>
      <w:rPr>
        <w:rFonts w:ascii="Times" w:eastAsiaTheme="minorEastAsia" w:hAnsi="Time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DE1AE8"/>
    <w:multiLevelType w:val="hybridMultilevel"/>
    <w:tmpl w:val="A524E8AA"/>
    <w:lvl w:ilvl="0" w:tplc="7BB69008">
      <w:start w:val="1"/>
      <w:numFmt w:val="upperRoman"/>
      <w:lvlText w:val="%1."/>
      <w:lvlJc w:val="left"/>
      <w:pPr>
        <w:ind w:left="720" w:hanging="720"/>
      </w:pPr>
      <w:rPr>
        <w:rFonts w:hint="default"/>
        <w:color w:val="1E5E9F" w:themeColor="accent3"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606601">
    <w:abstractNumId w:val="2"/>
  </w:num>
  <w:num w:numId="2" w16cid:durableId="999577552">
    <w:abstractNumId w:val="3"/>
  </w:num>
  <w:num w:numId="3" w16cid:durableId="864831606">
    <w:abstractNumId w:val="1"/>
  </w:num>
  <w:num w:numId="4" w16cid:durableId="887571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D4"/>
    <w:rsid w:val="000219D0"/>
    <w:rsid w:val="0004230D"/>
    <w:rsid w:val="00053631"/>
    <w:rsid w:val="00053BC0"/>
    <w:rsid w:val="000626CF"/>
    <w:rsid w:val="000657C2"/>
    <w:rsid w:val="000875DA"/>
    <w:rsid w:val="00092D05"/>
    <w:rsid w:val="00092D79"/>
    <w:rsid w:val="000A3C96"/>
    <w:rsid w:val="000A4BF6"/>
    <w:rsid w:val="000C40ED"/>
    <w:rsid w:val="000D036D"/>
    <w:rsid w:val="000D36C8"/>
    <w:rsid w:val="000E68D2"/>
    <w:rsid w:val="000E6DEE"/>
    <w:rsid w:val="000E75F9"/>
    <w:rsid w:val="000F7516"/>
    <w:rsid w:val="00104C83"/>
    <w:rsid w:val="00141C40"/>
    <w:rsid w:val="00146EF6"/>
    <w:rsid w:val="00154EAA"/>
    <w:rsid w:val="001610B0"/>
    <w:rsid w:val="001611D2"/>
    <w:rsid w:val="0018610E"/>
    <w:rsid w:val="001A1DB3"/>
    <w:rsid w:val="001B469B"/>
    <w:rsid w:val="001C56B9"/>
    <w:rsid w:val="001D77E7"/>
    <w:rsid w:val="00205CA3"/>
    <w:rsid w:val="0021193C"/>
    <w:rsid w:val="002470E2"/>
    <w:rsid w:val="00262E07"/>
    <w:rsid w:val="00271B85"/>
    <w:rsid w:val="00285FEF"/>
    <w:rsid w:val="002909EC"/>
    <w:rsid w:val="002927EF"/>
    <w:rsid w:val="002A7CD1"/>
    <w:rsid w:val="002D0BE2"/>
    <w:rsid w:val="002E3DBC"/>
    <w:rsid w:val="0030411E"/>
    <w:rsid w:val="00316FC3"/>
    <w:rsid w:val="003245A0"/>
    <w:rsid w:val="00326BB9"/>
    <w:rsid w:val="00343E29"/>
    <w:rsid w:val="00344A0F"/>
    <w:rsid w:val="0035360E"/>
    <w:rsid w:val="00364467"/>
    <w:rsid w:val="0038240A"/>
    <w:rsid w:val="00387042"/>
    <w:rsid w:val="00397DC0"/>
    <w:rsid w:val="003A3DF0"/>
    <w:rsid w:val="003A4474"/>
    <w:rsid w:val="003C1D2A"/>
    <w:rsid w:val="003F4DB5"/>
    <w:rsid w:val="00411836"/>
    <w:rsid w:val="004165AC"/>
    <w:rsid w:val="004602F7"/>
    <w:rsid w:val="00464EE6"/>
    <w:rsid w:val="004778EE"/>
    <w:rsid w:val="004B304B"/>
    <w:rsid w:val="004D23F0"/>
    <w:rsid w:val="004D53EB"/>
    <w:rsid w:val="004E45F7"/>
    <w:rsid w:val="004E5523"/>
    <w:rsid w:val="004F1FAE"/>
    <w:rsid w:val="00501555"/>
    <w:rsid w:val="005103D8"/>
    <w:rsid w:val="0051049D"/>
    <w:rsid w:val="0052346A"/>
    <w:rsid w:val="00534320"/>
    <w:rsid w:val="00547826"/>
    <w:rsid w:val="00552B4A"/>
    <w:rsid w:val="00553503"/>
    <w:rsid w:val="005811EE"/>
    <w:rsid w:val="005A7C4D"/>
    <w:rsid w:val="005B769C"/>
    <w:rsid w:val="005C604E"/>
    <w:rsid w:val="005E07ED"/>
    <w:rsid w:val="005F08EB"/>
    <w:rsid w:val="005F3DC1"/>
    <w:rsid w:val="00602FD4"/>
    <w:rsid w:val="006038C6"/>
    <w:rsid w:val="00612523"/>
    <w:rsid w:val="00630A82"/>
    <w:rsid w:val="00641355"/>
    <w:rsid w:val="006513E1"/>
    <w:rsid w:val="00657A1D"/>
    <w:rsid w:val="00663F29"/>
    <w:rsid w:val="00677926"/>
    <w:rsid w:val="006B366F"/>
    <w:rsid w:val="006C3DA7"/>
    <w:rsid w:val="006E37A8"/>
    <w:rsid w:val="007203C6"/>
    <w:rsid w:val="00740F54"/>
    <w:rsid w:val="00742FFA"/>
    <w:rsid w:val="00761070"/>
    <w:rsid w:val="00762567"/>
    <w:rsid w:val="00766E19"/>
    <w:rsid w:val="007A763F"/>
    <w:rsid w:val="007D4764"/>
    <w:rsid w:val="007F2226"/>
    <w:rsid w:val="008219F0"/>
    <w:rsid w:val="00823F2F"/>
    <w:rsid w:val="008244EF"/>
    <w:rsid w:val="00851251"/>
    <w:rsid w:val="00853479"/>
    <w:rsid w:val="00856C23"/>
    <w:rsid w:val="00870F9D"/>
    <w:rsid w:val="00873268"/>
    <w:rsid w:val="00874F6E"/>
    <w:rsid w:val="0088220A"/>
    <w:rsid w:val="008858F9"/>
    <w:rsid w:val="008C36D2"/>
    <w:rsid w:val="008C7EB3"/>
    <w:rsid w:val="008D7517"/>
    <w:rsid w:val="008F0B1F"/>
    <w:rsid w:val="008F5E87"/>
    <w:rsid w:val="00905B2E"/>
    <w:rsid w:val="00917D90"/>
    <w:rsid w:val="009204F9"/>
    <w:rsid w:val="009205F7"/>
    <w:rsid w:val="00924534"/>
    <w:rsid w:val="00930D78"/>
    <w:rsid w:val="00932745"/>
    <w:rsid w:val="009614A6"/>
    <w:rsid w:val="00963273"/>
    <w:rsid w:val="00984325"/>
    <w:rsid w:val="00993601"/>
    <w:rsid w:val="009A4F99"/>
    <w:rsid w:val="009B3368"/>
    <w:rsid w:val="009E0DA6"/>
    <w:rsid w:val="009F5C65"/>
    <w:rsid w:val="00A10F2F"/>
    <w:rsid w:val="00A21120"/>
    <w:rsid w:val="00A50C61"/>
    <w:rsid w:val="00A74686"/>
    <w:rsid w:val="00A76118"/>
    <w:rsid w:val="00A77047"/>
    <w:rsid w:val="00AB2C02"/>
    <w:rsid w:val="00AC3A16"/>
    <w:rsid w:val="00AD3AC1"/>
    <w:rsid w:val="00AF1BBB"/>
    <w:rsid w:val="00B01478"/>
    <w:rsid w:val="00B0377E"/>
    <w:rsid w:val="00B05A5A"/>
    <w:rsid w:val="00B237BB"/>
    <w:rsid w:val="00B30682"/>
    <w:rsid w:val="00B32280"/>
    <w:rsid w:val="00B32F24"/>
    <w:rsid w:val="00B341F5"/>
    <w:rsid w:val="00B37C46"/>
    <w:rsid w:val="00B71843"/>
    <w:rsid w:val="00B71B25"/>
    <w:rsid w:val="00B845E6"/>
    <w:rsid w:val="00B94C71"/>
    <w:rsid w:val="00BA7805"/>
    <w:rsid w:val="00BB6229"/>
    <w:rsid w:val="00BC6783"/>
    <w:rsid w:val="00C13D53"/>
    <w:rsid w:val="00C21B9E"/>
    <w:rsid w:val="00C37CDC"/>
    <w:rsid w:val="00C45641"/>
    <w:rsid w:val="00C5301D"/>
    <w:rsid w:val="00C5681C"/>
    <w:rsid w:val="00C75CAE"/>
    <w:rsid w:val="00C776A0"/>
    <w:rsid w:val="00C81F3E"/>
    <w:rsid w:val="00CB0BCD"/>
    <w:rsid w:val="00CC2454"/>
    <w:rsid w:val="00CD3DCE"/>
    <w:rsid w:val="00CE4D37"/>
    <w:rsid w:val="00CF41D1"/>
    <w:rsid w:val="00D03CB5"/>
    <w:rsid w:val="00D03EDA"/>
    <w:rsid w:val="00D17043"/>
    <w:rsid w:val="00D17DD6"/>
    <w:rsid w:val="00D4286C"/>
    <w:rsid w:val="00D51D9A"/>
    <w:rsid w:val="00D572CA"/>
    <w:rsid w:val="00D64109"/>
    <w:rsid w:val="00D758CE"/>
    <w:rsid w:val="00D8692F"/>
    <w:rsid w:val="00D920A3"/>
    <w:rsid w:val="00DA5CF2"/>
    <w:rsid w:val="00DB283D"/>
    <w:rsid w:val="00DB67CD"/>
    <w:rsid w:val="00DC07EF"/>
    <w:rsid w:val="00DC1706"/>
    <w:rsid w:val="00DD4571"/>
    <w:rsid w:val="00DE0F2B"/>
    <w:rsid w:val="00DE1B0B"/>
    <w:rsid w:val="00DF7721"/>
    <w:rsid w:val="00E06C97"/>
    <w:rsid w:val="00E14C97"/>
    <w:rsid w:val="00E16798"/>
    <w:rsid w:val="00E26008"/>
    <w:rsid w:val="00E500CB"/>
    <w:rsid w:val="00E5498D"/>
    <w:rsid w:val="00E709D1"/>
    <w:rsid w:val="00E76EC4"/>
    <w:rsid w:val="00E81921"/>
    <w:rsid w:val="00E9067C"/>
    <w:rsid w:val="00EA15F7"/>
    <w:rsid w:val="00EA742A"/>
    <w:rsid w:val="00EB4B6C"/>
    <w:rsid w:val="00EB5671"/>
    <w:rsid w:val="00EB7A9C"/>
    <w:rsid w:val="00ED37DC"/>
    <w:rsid w:val="00EE6110"/>
    <w:rsid w:val="00EF0EEB"/>
    <w:rsid w:val="00EF77BF"/>
    <w:rsid w:val="00F049B6"/>
    <w:rsid w:val="00F2044B"/>
    <w:rsid w:val="00F2663D"/>
    <w:rsid w:val="00F47B9C"/>
    <w:rsid w:val="00F77802"/>
    <w:rsid w:val="00FB14D4"/>
    <w:rsid w:val="00FC11B9"/>
    <w:rsid w:val="00FC1707"/>
    <w:rsid w:val="00FC570D"/>
    <w:rsid w:val="00FC6294"/>
    <w:rsid w:val="00FD17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54CE5"/>
  <w15:chartTrackingRefBased/>
  <w15:docId w15:val="{E6CEC82A-E7A6-0748-B6C1-F841FA0B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B6C"/>
    <w:pPr>
      <w:spacing w:after="180" w:line="274" w:lineRule="auto"/>
    </w:pPr>
    <w:rPr>
      <w:sz w:val="21"/>
    </w:rPr>
  </w:style>
  <w:style w:type="paragraph" w:styleId="Heading1">
    <w:name w:val="heading 1"/>
    <w:basedOn w:val="Normal"/>
    <w:next w:val="Normal"/>
    <w:link w:val="Heading1Char"/>
    <w:uiPriority w:val="9"/>
    <w:qFormat/>
    <w:rsid w:val="00EB4B6C"/>
    <w:pPr>
      <w:keepNext/>
      <w:keepLines/>
      <w:spacing w:before="360" w:after="0" w:line="240" w:lineRule="auto"/>
      <w:outlineLvl w:val="0"/>
    </w:pPr>
    <w:rPr>
      <w:rFonts w:asciiTheme="majorHAnsi" w:eastAsiaTheme="majorEastAsia" w:hAnsiTheme="majorHAnsi" w:cstheme="majorBidi"/>
      <w:bCs/>
      <w:color w:val="4A66AC" w:themeColor="accent1"/>
      <w:spacing w:val="20"/>
      <w:sz w:val="32"/>
      <w:szCs w:val="28"/>
    </w:rPr>
  </w:style>
  <w:style w:type="paragraph" w:styleId="Heading2">
    <w:name w:val="heading 2"/>
    <w:basedOn w:val="Normal"/>
    <w:next w:val="Normal"/>
    <w:link w:val="Heading2Char"/>
    <w:uiPriority w:val="9"/>
    <w:semiHidden/>
    <w:unhideWhenUsed/>
    <w:qFormat/>
    <w:rsid w:val="00EB4B6C"/>
    <w:pPr>
      <w:keepNext/>
      <w:keepLines/>
      <w:spacing w:before="120" w:after="0" w:line="240" w:lineRule="auto"/>
      <w:outlineLvl w:val="1"/>
    </w:pPr>
    <w:rPr>
      <w:rFonts w:eastAsiaTheme="majorEastAsia" w:cstheme="majorBidi"/>
      <w:b/>
      <w:bCs/>
      <w:color w:val="4A66AC" w:themeColor="accent1"/>
      <w:sz w:val="28"/>
      <w:szCs w:val="26"/>
    </w:rPr>
  </w:style>
  <w:style w:type="paragraph" w:styleId="Heading3">
    <w:name w:val="heading 3"/>
    <w:basedOn w:val="Normal"/>
    <w:next w:val="Normal"/>
    <w:link w:val="Heading3Char"/>
    <w:uiPriority w:val="9"/>
    <w:semiHidden/>
    <w:unhideWhenUsed/>
    <w:qFormat/>
    <w:rsid w:val="00EB4B6C"/>
    <w:pPr>
      <w:keepNext/>
      <w:keepLines/>
      <w:spacing w:before="20" w:after="0" w:line="240" w:lineRule="auto"/>
      <w:outlineLvl w:val="2"/>
    </w:pPr>
    <w:rPr>
      <w:rFonts w:asciiTheme="majorHAnsi" w:eastAsiaTheme="majorEastAsia" w:hAnsiTheme="majorHAnsi" w:cstheme="majorBidi"/>
      <w:bCs/>
      <w:color w:val="242852" w:themeColor="text2"/>
      <w:spacing w:val="14"/>
      <w:sz w:val="24"/>
    </w:rPr>
  </w:style>
  <w:style w:type="paragraph" w:styleId="Heading4">
    <w:name w:val="heading 4"/>
    <w:basedOn w:val="Normal"/>
    <w:next w:val="Normal"/>
    <w:link w:val="Heading4Char"/>
    <w:uiPriority w:val="9"/>
    <w:semiHidden/>
    <w:unhideWhenUsed/>
    <w:qFormat/>
    <w:rsid w:val="00EB4B6C"/>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EB4B6C"/>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EB4B6C"/>
    <w:pPr>
      <w:keepNext/>
      <w:keepLines/>
      <w:spacing w:before="200" w:after="0"/>
      <w:outlineLvl w:val="5"/>
    </w:pPr>
    <w:rPr>
      <w:rFonts w:asciiTheme="majorHAnsi" w:eastAsiaTheme="majorEastAsia" w:hAnsiTheme="majorHAnsi" w:cstheme="majorBidi"/>
      <w:iCs/>
      <w:color w:val="4A66AC" w:themeColor="accent1"/>
      <w:sz w:val="22"/>
    </w:rPr>
  </w:style>
  <w:style w:type="paragraph" w:styleId="Heading7">
    <w:name w:val="heading 7"/>
    <w:basedOn w:val="Normal"/>
    <w:next w:val="Normal"/>
    <w:link w:val="Heading7Char"/>
    <w:uiPriority w:val="9"/>
    <w:semiHidden/>
    <w:unhideWhenUsed/>
    <w:qFormat/>
    <w:rsid w:val="00EB4B6C"/>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EB4B6C"/>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B4B6C"/>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FD4"/>
    <w:pPr>
      <w:tabs>
        <w:tab w:val="center" w:pos="4536"/>
        <w:tab w:val="right" w:pos="9072"/>
      </w:tabs>
    </w:pPr>
  </w:style>
  <w:style w:type="character" w:customStyle="1" w:styleId="HeaderChar">
    <w:name w:val="Header Char"/>
    <w:basedOn w:val="DefaultParagraphFont"/>
    <w:link w:val="Header"/>
    <w:uiPriority w:val="99"/>
    <w:rsid w:val="00602FD4"/>
  </w:style>
  <w:style w:type="paragraph" w:styleId="Footer">
    <w:name w:val="footer"/>
    <w:basedOn w:val="Normal"/>
    <w:link w:val="FooterChar"/>
    <w:uiPriority w:val="99"/>
    <w:unhideWhenUsed/>
    <w:rsid w:val="00602FD4"/>
    <w:pPr>
      <w:tabs>
        <w:tab w:val="center" w:pos="4536"/>
        <w:tab w:val="right" w:pos="9072"/>
      </w:tabs>
    </w:pPr>
  </w:style>
  <w:style w:type="character" w:customStyle="1" w:styleId="FooterChar">
    <w:name w:val="Footer Char"/>
    <w:basedOn w:val="DefaultParagraphFont"/>
    <w:link w:val="Footer"/>
    <w:uiPriority w:val="99"/>
    <w:rsid w:val="00602FD4"/>
  </w:style>
  <w:style w:type="table" w:styleId="TableGrid">
    <w:name w:val="Table Grid"/>
    <w:basedOn w:val="TableNormal"/>
    <w:uiPriority w:val="39"/>
    <w:rsid w:val="001B4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4B6C"/>
    <w:pPr>
      <w:spacing w:line="240" w:lineRule="auto"/>
      <w:ind w:left="720" w:hanging="288"/>
      <w:contextualSpacing/>
    </w:pPr>
    <w:rPr>
      <w:color w:val="242852" w:themeColor="text2"/>
    </w:rPr>
  </w:style>
  <w:style w:type="paragraph" w:styleId="FootnoteText">
    <w:name w:val="footnote text"/>
    <w:basedOn w:val="Normal"/>
    <w:link w:val="FootnoteTextChar"/>
    <w:uiPriority w:val="99"/>
    <w:semiHidden/>
    <w:unhideWhenUsed/>
    <w:rsid w:val="001B469B"/>
    <w:rPr>
      <w:sz w:val="20"/>
      <w:szCs w:val="20"/>
    </w:rPr>
  </w:style>
  <w:style w:type="character" w:customStyle="1" w:styleId="FootnoteTextChar">
    <w:name w:val="Footnote Text Char"/>
    <w:basedOn w:val="DefaultParagraphFont"/>
    <w:link w:val="FootnoteText"/>
    <w:uiPriority w:val="99"/>
    <w:semiHidden/>
    <w:rsid w:val="001B469B"/>
    <w:rPr>
      <w:sz w:val="20"/>
      <w:szCs w:val="20"/>
    </w:rPr>
  </w:style>
  <w:style w:type="character" w:styleId="FootnoteReference">
    <w:name w:val="footnote reference"/>
    <w:basedOn w:val="DefaultParagraphFont"/>
    <w:uiPriority w:val="99"/>
    <w:semiHidden/>
    <w:unhideWhenUsed/>
    <w:rsid w:val="001B469B"/>
    <w:rPr>
      <w:vertAlign w:val="superscript"/>
    </w:rPr>
  </w:style>
  <w:style w:type="character" w:styleId="Hyperlink">
    <w:name w:val="Hyperlink"/>
    <w:basedOn w:val="DefaultParagraphFont"/>
    <w:uiPriority w:val="99"/>
    <w:unhideWhenUsed/>
    <w:rsid w:val="001B469B"/>
    <w:rPr>
      <w:color w:val="9454C3" w:themeColor="hyperlink"/>
      <w:u w:val="single"/>
    </w:rPr>
  </w:style>
  <w:style w:type="character" w:customStyle="1" w:styleId="Heading1Char">
    <w:name w:val="Heading 1 Char"/>
    <w:basedOn w:val="DefaultParagraphFont"/>
    <w:link w:val="Heading1"/>
    <w:uiPriority w:val="9"/>
    <w:rsid w:val="00EB4B6C"/>
    <w:rPr>
      <w:rFonts w:asciiTheme="majorHAnsi" w:eastAsiaTheme="majorEastAsia" w:hAnsiTheme="majorHAnsi" w:cstheme="majorBidi"/>
      <w:bCs/>
      <w:color w:val="4A66AC" w:themeColor="accent1"/>
      <w:spacing w:val="20"/>
      <w:sz w:val="32"/>
      <w:szCs w:val="28"/>
    </w:rPr>
  </w:style>
  <w:style w:type="character" w:customStyle="1" w:styleId="Heading2Char">
    <w:name w:val="Heading 2 Char"/>
    <w:basedOn w:val="DefaultParagraphFont"/>
    <w:link w:val="Heading2"/>
    <w:uiPriority w:val="9"/>
    <w:semiHidden/>
    <w:rsid w:val="00EB4B6C"/>
    <w:rPr>
      <w:rFonts w:eastAsiaTheme="majorEastAsia" w:cstheme="majorBidi"/>
      <w:b/>
      <w:bCs/>
      <w:color w:val="4A66AC" w:themeColor="accent1"/>
      <w:sz w:val="28"/>
      <w:szCs w:val="26"/>
    </w:rPr>
  </w:style>
  <w:style w:type="character" w:customStyle="1" w:styleId="Heading3Char">
    <w:name w:val="Heading 3 Char"/>
    <w:basedOn w:val="DefaultParagraphFont"/>
    <w:link w:val="Heading3"/>
    <w:uiPriority w:val="9"/>
    <w:semiHidden/>
    <w:rsid w:val="00EB4B6C"/>
    <w:rPr>
      <w:rFonts w:asciiTheme="majorHAnsi" w:eastAsiaTheme="majorEastAsia" w:hAnsiTheme="majorHAnsi" w:cstheme="majorBidi"/>
      <w:bCs/>
      <w:color w:val="242852" w:themeColor="text2"/>
      <w:spacing w:val="14"/>
      <w:sz w:val="24"/>
    </w:rPr>
  </w:style>
  <w:style w:type="character" w:customStyle="1" w:styleId="Heading4Char">
    <w:name w:val="Heading 4 Char"/>
    <w:basedOn w:val="DefaultParagraphFont"/>
    <w:link w:val="Heading4"/>
    <w:uiPriority w:val="9"/>
    <w:semiHidden/>
    <w:rsid w:val="00EB4B6C"/>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EB4B6C"/>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B4B6C"/>
    <w:rPr>
      <w:rFonts w:asciiTheme="majorHAnsi" w:eastAsiaTheme="majorEastAsia" w:hAnsiTheme="majorHAnsi" w:cstheme="majorBidi"/>
      <w:iCs/>
      <w:color w:val="4A66AC" w:themeColor="accent1"/>
    </w:rPr>
  </w:style>
  <w:style w:type="character" w:customStyle="1" w:styleId="Heading7Char">
    <w:name w:val="Heading 7 Char"/>
    <w:basedOn w:val="DefaultParagraphFont"/>
    <w:link w:val="Heading7"/>
    <w:uiPriority w:val="9"/>
    <w:semiHidden/>
    <w:rsid w:val="00EB4B6C"/>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EB4B6C"/>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B4B6C"/>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EB4B6C"/>
    <w:pPr>
      <w:spacing w:line="240" w:lineRule="auto"/>
    </w:pPr>
    <w:rPr>
      <w:rFonts w:asciiTheme="majorHAnsi" w:eastAsiaTheme="minorEastAsia" w:hAnsiTheme="majorHAnsi"/>
      <w:bCs/>
      <w:smallCaps/>
      <w:color w:val="242852" w:themeColor="text2"/>
      <w:spacing w:val="6"/>
      <w:sz w:val="22"/>
      <w:szCs w:val="18"/>
    </w:rPr>
  </w:style>
  <w:style w:type="paragraph" w:styleId="Title">
    <w:name w:val="Title"/>
    <w:basedOn w:val="Normal"/>
    <w:next w:val="Normal"/>
    <w:link w:val="TitleChar"/>
    <w:uiPriority w:val="10"/>
    <w:qFormat/>
    <w:rsid w:val="00EB4B6C"/>
    <w:pPr>
      <w:spacing w:after="120" w:line="240" w:lineRule="auto"/>
      <w:contextualSpacing/>
    </w:pPr>
    <w:rPr>
      <w:rFonts w:asciiTheme="majorHAnsi" w:eastAsiaTheme="majorEastAsia" w:hAnsiTheme="majorHAnsi" w:cstheme="majorBidi"/>
      <w:color w:val="242852" w:themeColor="text2"/>
      <w:spacing w:val="30"/>
      <w:kern w:val="28"/>
      <w:sz w:val="96"/>
      <w:szCs w:val="52"/>
    </w:rPr>
  </w:style>
  <w:style w:type="character" w:customStyle="1" w:styleId="TitleChar">
    <w:name w:val="Title Char"/>
    <w:basedOn w:val="DefaultParagraphFont"/>
    <w:link w:val="Title"/>
    <w:uiPriority w:val="10"/>
    <w:rsid w:val="00EB4B6C"/>
    <w:rPr>
      <w:rFonts w:asciiTheme="majorHAnsi" w:eastAsiaTheme="majorEastAsia" w:hAnsiTheme="majorHAnsi" w:cstheme="majorBidi"/>
      <w:color w:val="242852" w:themeColor="text2"/>
      <w:spacing w:val="30"/>
      <w:kern w:val="28"/>
      <w:sz w:val="96"/>
      <w:szCs w:val="52"/>
    </w:rPr>
  </w:style>
  <w:style w:type="paragraph" w:styleId="Subtitle">
    <w:name w:val="Subtitle"/>
    <w:basedOn w:val="Normal"/>
    <w:next w:val="Normal"/>
    <w:link w:val="SubtitleChar"/>
    <w:uiPriority w:val="11"/>
    <w:qFormat/>
    <w:rsid w:val="00EB4B6C"/>
    <w:pPr>
      <w:numPr>
        <w:ilvl w:val="1"/>
      </w:numPr>
    </w:pPr>
    <w:rPr>
      <w:rFonts w:eastAsiaTheme="majorEastAsia" w:cstheme="majorBidi"/>
      <w:iCs/>
      <w:color w:val="242852" w:themeColor="text2"/>
      <w:sz w:val="40"/>
      <w:szCs w:val="24"/>
    </w:rPr>
  </w:style>
  <w:style w:type="character" w:customStyle="1" w:styleId="SubtitleChar">
    <w:name w:val="Subtitle Char"/>
    <w:basedOn w:val="DefaultParagraphFont"/>
    <w:link w:val="Subtitle"/>
    <w:uiPriority w:val="11"/>
    <w:rsid w:val="00EB4B6C"/>
    <w:rPr>
      <w:rFonts w:eastAsiaTheme="majorEastAsia" w:cstheme="majorBidi"/>
      <w:iCs/>
      <w:color w:val="242852" w:themeColor="text2"/>
      <w:sz w:val="40"/>
      <w:szCs w:val="24"/>
    </w:rPr>
  </w:style>
  <w:style w:type="character" w:styleId="Strong">
    <w:name w:val="Strong"/>
    <w:basedOn w:val="DefaultParagraphFont"/>
    <w:uiPriority w:val="22"/>
    <w:qFormat/>
    <w:rsid w:val="00EB4B6C"/>
    <w:rPr>
      <w:b w:val="0"/>
      <w:bCs/>
      <w:i/>
      <w:color w:val="242852" w:themeColor="text2"/>
    </w:rPr>
  </w:style>
  <w:style w:type="character" w:styleId="Emphasis">
    <w:name w:val="Emphasis"/>
    <w:basedOn w:val="DefaultParagraphFont"/>
    <w:uiPriority w:val="20"/>
    <w:qFormat/>
    <w:rsid w:val="00EB4B6C"/>
    <w:rPr>
      <w:b/>
      <w:i/>
      <w:iCs/>
    </w:rPr>
  </w:style>
  <w:style w:type="paragraph" w:styleId="NoSpacing">
    <w:name w:val="No Spacing"/>
    <w:link w:val="NoSpacingChar"/>
    <w:uiPriority w:val="1"/>
    <w:qFormat/>
    <w:rsid w:val="00EB4B6C"/>
    <w:pPr>
      <w:spacing w:after="0" w:line="240" w:lineRule="auto"/>
    </w:pPr>
  </w:style>
  <w:style w:type="paragraph" w:styleId="Quote">
    <w:name w:val="Quote"/>
    <w:basedOn w:val="Normal"/>
    <w:next w:val="Normal"/>
    <w:link w:val="QuoteChar"/>
    <w:uiPriority w:val="29"/>
    <w:qFormat/>
    <w:rsid w:val="00EB4B6C"/>
    <w:pPr>
      <w:spacing w:after="0" w:line="360" w:lineRule="auto"/>
      <w:jc w:val="center"/>
    </w:pPr>
    <w:rPr>
      <w:rFonts w:eastAsiaTheme="minorEastAsia"/>
      <w:b/>
      <w:i/>
      <w:iCs/>
      <w:color w:val="4A66AC" w:themeColor="accent1"/>
      <w:sz w:val="26"/>
    </w:rPr>
  </w:style>
  <w:style w:type="character" w:customStyle="1" w:styleId="QuoteChar">
    <w:name w:val="Quote Char"/>
    <w:basedOn w:val="DefaultParagraphFont"/>
    <w:link w:val="Quote"/>
    <w:uiPriority w:val="29"/>
    <w:rsid w:val="00EB4B6C"/>
    <w:rPr>
      <w:rFonts w:eastAsiaTheme="minorEastAsia"/>
      <w:b/>
      <w:i/>
      <w:iCs/>
      <w:color w:val="4A66AC" w:themeColor="accent1"/>
      <w:sz w:val="26"/>
    </w:rPr>
  </w:style>
  <w:style w:type="paragraph" w:styleId="IntenseQuote">
    <w:name w:val="Intense Quote"/>
    <w:basedOn w:val="Normal"/>
    <w:next w:val="Normal"/>
    <w:link w:val="IntenseQuoteChar"/>
    <w:uiPriority w:val="30"/>
    <w:qFormat/>
    <w:rsid w:val="00EB4B6C"/>
    <w:pPr>
      <w:pBdr>
        <w:top w:val="single" w:sz="36" w:space="8" w:color="4A66AC" w:themeColor="accent1"/>
        <w:left w:val="single" w:sz="36" w:space="8" w:color="4A66AC" w:themeColor="accent1"/>
        <w:bottom w:val="single" w:sz="36" w:space="8" w:color="4A66AC" w:themeColor="accent1"/>
        <w:right w:val="single" w:sz="36" w:space="8" w:color="4A66AC" w:themeColor="accent1"/>
      </w:pBdr>
      <w:shd w:val="clear" w:color="auto" w:fill="4A66AC"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EB4B6C"/>
    <w:rPr>
      <w:rFonts w:asciiTheme="majorHAnsi" w:eastAsiaTheme="minorEastAsia" w:hAnsiTheme="majorHAnsi"/>
      <w:bCs/>
      <w:iCs/>
      <w:color w:val="FFFFFF" w:themeColor="background1"/>
      <w:sz w:val="28"/>
      <w:shd w:val="clear" w:color="auto" w:fill="4A66AC" w:themeFill="accent1"/>
    </w:rPr>
  </w:style>
  <w:style w:type="character" w:styleId="SubtleEmphasis">
    <w:name w:val="Subtle Emphasis"/>
    <w:basedOn w:val="DefaultParagraphFont"/>
    <w:uiPriority w:val="19"/>
    <w:qFormat/>
    <w:rsid w:val="00EB4B6C"/>
    <w:rPr>
      <w:i/>
      <w:iCs/>
      <w:color w:val="000000"/>
    </w:rPr>
  </w:style>
  <w:style w:type="character" w:styleId="IntenseEmphasis">
    <w:name w:val="Intense Emphasis"/>
    <w:basedOn w:val="DefaultParagraphFont"/>
    <w:uiPriority w:val="21"/>
    <w:qFormat/>
    <w:rsid w:val="00EB4B6C"/>
    <w:rPr>
      <w:b/>
      <w:bCs/>
      <w:i/>
      <w:iCs/>
      <w:color w:val="4A66AC" w:themeColor="accent1"/>
    </w:rPr>
  </w:style>
  <w:style w:type="character" w:styleId="SubtleReference">
    <w:name w:val="Subtle Reference"/>
    <w:basedOn w:val="DefaultParagraphFont"/>
    <w:uiPriority w:val="31"/>
    <w:qFormat/>
    <w:rsid w:val="00EB4B6C"/>
    <w:rPr>
      <w:smallCaps/>
      <w:color w:val="000000"/>
      <w:u w:val="single"/>
    </w:rPr>
  </w:style>
  <w:style w:type="character" w:styleId="IntenseReference">
    <w:name w:val="Intense Reference"/>
    <w:basedOn w:val="DefaultParagraphFont"/>
    <w:uiPriority w:val="32"/>
    <w:qFormat/>
    <w:rsid w:val="00EB4B6C"/>
    <w:rPr>
      <w:b w:val="0"/>
      <w:bCs/>
      <w:smallCaps/>
      <w:color w:val="4A66AC" w:themeColor="accent1"/>
      <w:spacing w:val="5"/>
      <w:u w:val="single"/>
    </w:rPr>
  </w:style>
  <w:style w:type="character" w:styleId="BookTitle">
    <w:name w:val="Book Title"/>
    <w:basedOn w:val="DefaultParagraphFont"/>
    <w:uiPriority w:val="33"/>
    <w:qFormat/>
    <w:rsid w:val="00EB4B6C"/>
    <w:rPr>
      <w:b/>
      <w:bCs/>
      <w:caps/>
      <w:smallCaps w:val="0"/>
      <w:color w:val="242852" w:themeColor="text2"/>
      <w:spacing w:val="10"/>
    </w:rPr>
  </w:style>
  <w:style w:type="paragraph" w:styleId="TOCHeading">
    <w:name w:val="TOC Heading"/>
    <w:basedOn w:val="Heading1"/>
    <w:next w:val="Normal"/>
    <w:uiPriority w:val="39"/>
    <w:semiHidden/>
    <w:unhideWhenUsed/>
    <w:qFormat/>
    <w:rsid w:val="00EB4B6C"/>
    <w:pPr>
      <w:spacing w:before="480" w:line="264" w:lineRule="auto"/>
      <w:outlineLvl w:val="9"/>
    </w:pPr>
    <w:rPr>
      <w:b/>
    </w:rPr>
  </w:style>
  <w:style w:type="character" w:customStyle="1" w:styleId="NoSpacingChar">
    <w:name w:val="No Spacing Char"/>
    <w:basedOn w:val="DefaultParagraphFont"/>
    <w:link w:val="NoSpacing"/>
    <w:uiPriority w:val="1"/>
    <w:rsid w:val="00EB4B6C"/>
  </w:style>
  <w:style w:type="paragraph" w:customStyle="1" w:styleId="PersonalName">
    <w:name w:val="Personal Name"/>
    <w:basedOn w:val="Title"/>
    <w:qFormat/>
    <w:rsid w:val="00EB4B6C"/>
    <w:rPr>
      <w:b/>
      <w:caps/>
      <w:color w:val="000000"/>
      <w:sz w:val="28"/>
      <w:szCs w:val="28"/>
    </w:rPr>
  </w:style>
  <w:style w:type="character" w:styleId="UnresolvedMention">
    <w:name w:val="Unresolved Mention"/>
    <w:basedOn w:val="DefaultParagraphFont"/>
    <w:uiPriority w:val="99"/>
    <w:semiHidden/>
    <w:unhideWhenUsed/>
    <w:rsid w:val="00FC6294"/>
    <w:rPr>
      <w:color w:val="605E5C"/>
      <w:shd w:val="clear" w:color="auto" w:fill="E1DFDD"/>
    </w:rPr>
  </w:style>
  <w:style w:type="character" w:styleId="FollowedHyperlink">
    <w:name w:val="FollowedHyperlink"/>
    <w:basedOn w:val="DefaultParagraphFont"/>
    <w:uiPriority w:val="99"/>
    <w:semiHidden/>
    <w:unhideWhenUsed/>
    <w:rsid w:val="000657C2"/>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33445">
      <w:bodyDiv w:val="1"/>
      <w:marLeft w:val="0"/>
      <w:marRight w:val="0"/>
      <w:marTop w:val="0"/>
      <w:marBottom w:val="0"/>
      <w:divBdr>
        <w:top w:val="none" w:sz="0" w:space="0" w:color="auto"/>
        <w:left w:val="none" w:sz="0" w:space="0" w:color="auto"/>
        <w:bottom w:val="none" w:sz="0" w:space="0" w:color="auto"/>
        <w:right w:val="none" w:sz="0" w:space="0" w:color="auto"/>
      </w:divBdr>
      <w:divsChild>
        <w:div w:id="2130389049">
          <w:marLeft w:val="0"/>
          <w:marRight w:val="0"/>
          <w:marTop w:val="0"/>
          <w:marBottom w:val="0"/>
          <w:divBdr>
            <w:top w:val="single" w:sz="2" w:space="0" w:color="D9D9E3"/>
            <w:left w:val="single" w:sz="2" w:space="0" w:color="D9D9E3"/>
            <w:bottom w:val="single" w:sz="2" w:space="0" w:color="D9D9E3"/>
            <w:right w:val="single" w:sz="2" w:space="0" w:color="D9D9E3"/>
          </w:divBdr>
          <w:divsChild>
            <w:div w:id="1185556126">
              <w:marLeft w:val="0"/>
              <w:marRight w:val="0"/>
              <w:marTop w:val="0"/>
              <w:marBottom w:val="0"/>
              <w:divBdr>
                <w:top w:val="single" w:sz="2" w:space="0" w:color="D9D9E3"/>
                <w:left w:val="single" w:sz="2" w:space="0" w:color="D9D9E3"/>
                <w:bottom w:val="single" w:sz="2" w:space="0" w:color="D9D9E3"/>
                <w:right w:val="single" w:sz="2" w:space="0" w:color="D9D9E3"/>
              </w:divBdr>
              <w:divsChild>
                <w:div w:id="1023632493">
                  <w:marLeft w:val="0"/>
                  <w:marRight w:val="0"/>
                  <w:marTop w:val="0"/>
                  <w:marBottom w:val="0"/>
                  <w:divBdr>
                    <w:top w:val="single" w:sz="2" w:space="0" w:color="D9D9E3"/>
                    <w:left w:val="single" w:sz="2" w:space="0" w:color="D9D9E3"/>
                    <w:bottom w:val="single" w:sz="2" w:space="0" w:color="D9D9E3"/>
                    <w:right w:val="single" w:sz="2" w:space="0" w:color="D9D9E3"/>
                  </w:divBdr>
                  <w:divsChild>
                    <w:div w:id="1746611511">
                      <w:marLeft w:val="0"/>
                      <w:marRight w:val="0"/>
                      <w:marTop w:val="0"/>
                      <w:marBottom w:val="0"/>
                      <w:divBdr>
                        <w:top w:val="single" w:sz="2" w:space="0" w:color="D9D9E3"/>
                        <w:left w:val="single" w:sz="2" w:space="0" w:color="D9D9E3"/>
                        <w:bottom w:val="single" w:sz="2" w:space="0" w:color="D9D9E3"/>
                        <w:right w:val="single" w:sz="2" w:space="0" w:color="D9D9E3"/>
                      </w:divBdr>
                      <w:divsChild>
                        <w:div w:id="842477010">
                          <w:marLeft w:val="0"/>
                          <w:marRight w:val="0"/>
                          <w:marTop w:val="0"/>
                          <w:marBottom w:val="0"/>
                          <w:divBdr>
                            <w:top w:val="none" w:sz="0" w:space="0" w:color="auto"/>
                            <w:left w:val="none" w:sz="0" w:space="0" w:color="auto"/>
                            <w:bottom w:val="none" w:sz="0" w:space="0" w:color="auto"/>
                            <w:right w:val="none" w:sz="0" w:space="0" w:color="auto"/>
                          </w:divBdr>
                          <w:divsChild>
                            <w:div w:id="2051879997">
                              <w:marLeft w:val="0"/>
                              <w:marRight w:val="0"/>
                              <w:marTop w:val="100"/>
                              <w:marBottom w:val="100"/>
                              <w:divBdr>
                                <w:top w:val="single" w:sz="2" w:space="0" w:color="D9D9E3"/>
                                <w:left w:val="single" w:sz="2" w:space="0" w:color="D9D9E3"/>
                                <w:bottom w:val="single" w:sz="2" w:space="0" w:color="D9D9E3"/>
                                <w:right w:val="single" w:sz="2" w:space="0" w:color="D9D9E3"/>
                              </w:divBdr>
                              <w:divsChild>
                                <w:div w:id="483355191">
                                  <w:marLeft w:val="0"/>
                                  <w:marRight w:val="0"/>
                                  <w:marTop w:val="0"/>
                                  <w:marBottom w:val="0"/>
                                  <w:divBdr>
                                    <w:top w:val="single" w:sz="2" w:space="0" w:color="D9D9E3"/>
                                    <w:left w:val="single" w:sz="2" w:space="0" w:color="D9D9E3"/>
                                    <w:bottom w:val="single" w:sz="2" w:space="0" w:color="D9D9E3"/>
                                    <w:right w:val="single" w:sz="2" w:space="0" w:color="D9D9E3"/>
                                  </w:divBdr>
                                  <w:divsChild>
                                    <w:div w:id="360207807">
                                      <w:marLeft w:val="0"/>
                                      <w:marRight w:val="0"/>
                                      <w:marTop w:val="0"/>
                                      <w:marBottom w:val="0"/>
                                      <w:divBdr>
                                        <w:top w:val="single" w:sz="2" w:space="0" w:color="D9D9E3"/>
                                        <w:left w:val="single" w:sz="2" w:space="0" w:color="D9D9E3"/>
                                        <w:bottom w:val="single" w:sz="2" w:space="0" w:color="D9D9E3"/>
                                        <w:right w:val="single" w:sz="2" w:space="0" w:color="D9D9E3"/>
                                      </w:divBdr>
                                      <w:divsChild>
                                        <w:div w:id="337275255">
                                          <w:marLeft w:val="0"/>
                                          <w:marRight w:val="0"/>
                                          <w:marTop w:val="0"/>
                                          <w:marBottom w:val="0"/>
                                          <w:divBdr>
                                            <w:top w:val="single" w:sz="2" w:space="0" w:color="D9D9E3"/>
                                            <w:left w:val="single" w:sz="2" w:space="0" w:color="D9D9E3"/>
                                            <w:bottom w:val="single" w:sz="2" w:space="0" w:color="D9D9E3"/>
                                            <w:right w:val="single" w:sz="2" w:space="0" w:color="D9D9E3"/>
                                          </w:divBdr>
                                          <w:divsChild>
                                            <w:div w:id="1949727616">
                                              <w:marLeft w:val="0"/>
                                              <w:marRight w:val="0"/>
                                              <w:marTop w:val="0"/>
                                              <w:marBottom w:val="0"/>
                                              <w:divBdr>
                                                <w:top w:val="single" w:sz="2" w:space="0" w:color="D9D9E3"/>
                                                <w:left w:val="single" w:sz="2" w:space="0" w:color="D9D9E3"/>
                                                <w:bottom w:val="single" w:sz="2" w:space="0" w:color="D9D9E3"/>
                                                <w:right w:val="single" w:sz="2" w:space="0" w:color="D9D9E3"/>
                                              </w:divBdr>
                                              <w:divsChild>
                                                <w:div w:id="979043701">
                                                  <w:marLeft w:val="0"/>
                                                  <w:marRight w:val="0"/>
                                                  <w:marTop w:val="0"/>
                                                  <w:marBottom w:val="0"/>
                                                  <w:divBdr>
                                                    <w:top w:val="single" w:sz="2" w:space="0" w:color="D9D9E3"/>
                                                    <w:left w:val="single" w:sz="2" w:space="0" w:color="D9D9E3"/>
                                                    <w:bottom w:val="single" w:sz="2" w:space="0" w:color="D9D9E3"/>
                                                    <w:right w:val="single" w:sz="2" w:space="0" w:color="D9D9E3"/>
                                                  </w:divBdr>
                                                  <w:divsChild>
                                                    <w:div w:id="3084871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43610998">
          <w:marLeft w:val="0"/>
          <w:marRight w:val="0"/>
          <w:marTop w:val="0"/>
          <w:marBottom w:val="0"/>
          <w:divBdr>
            <w:top w:val="none" w:sz="0" w:space="0" w:color="auto"/>
            <w:left w:val="none" w:sz="0" w:space="0" w:color="auto"/>
            <w:bottom w:val="none" w:sz="0" w:space="0" w:color="auto"/>
            <w:right w:val="none" w:sz="0" w:space="0" w:color="auto"/>
          </w:divBdr>
          <w:divsChild>
            <w:div w:id="1380783816">
              <w:marLeft w:val="0"/>
              <w:marRight w:val="0"/>
              <w:marTop w:val="0"/>
              <w:marBottom w:val="0"/>
              <w:divBdr>
                <w:top w:val="single" w:sz="2" w:space="0" w:color="D9D9E3"/>
                <w:left w:val="single" w:sz="2" w:space="0" w:color="D9D9E3"/>
                <w:bottom w:val="single" w:sz="2" w:space="0" w:color="D9D9E3"/>
                <w:right w:val="single" w:sz="2" w:space="0" w:color="D9D9E3"/>
              </w:divBdr>
              <w:divsChild>
                <w:div w:id="1286502681">
                  <w:marLeft w:val="0"/>
                  <w:marRight w:val="0"/>
                  <w:marTop w:val="0"/>
                  <w:marBottom w:val="0"/>
                  <w:divBdr>
                    <w:top w:val="single" w:sz="2" w:space="0" w:color="D9D9E3"/>
                    <w:left w:val="single" w:sz="2" w:space="0" w:color="D9D9E3"/>
                    <w:bottom w:val="single" w:sz="2" w:space="0" w:color="D9D9E3"/>
                    <w:right w:val="single" w:sz="2" w:space="0" w:color="D9D9E3"/>
                  </w:divBdr>
                  <w:divsChild>
                    <w:div w:id="1094741926">
                      <w:marLeft w:val="0"/>
                      <w:marRight w:val="0"/>
                      <w:marTop w:val="0"/>
                      <w:marBottom w:val="0"/>
                      <w:divBdr>
                        <w:top w:val="single" w:sz="6" w:space="0" w:color="auto"/>
                        <w:left w:val="single" w:sz="6" w:space="0" w:color="auto"/>
                        <w:bottom w:val="single" w:sz="6" w:space="0" w:color="auto"/>
                        <w:right w:val="single" w:sz="6" w:space="0" w:color="auto"/>
                      </w:divBdr>
                      <w:divsChild>
                        <w:div w:id="724378111">
                          <w:marLeft w:val="0"/>
                          <w:marRight w:val="0"/>
                          <w:marTop w:val="0"/>
                          <w:marBottom w:val="0"/>
                          <w:divBdr>
                            <w:top w:val="none" w:sz="0" w:space="0" w:color="auto"/>
                            <w:left w:val="none" w:sz="0" w:space="0" w:color="auto"/>
                            <w:bottom w:val="none" w:sz="0" w:space="0" w:color="auto"/>
                            <w:right w:val="none" w:sz="0" w:space="0" w:color="auto"/>
                          </w:divBdr>
                          <w:divsChild>
                            <w:div w:id="406536815">
                              <w:marLeft w:val="0"/>
                              <w:marRight w:val="0"/>
                              <w:marTop w:val="0"/>
                              <w:marBottom w:val="0"/>
                              <w:divBdr>
                                <w:top w:val="none" w:sz="0" w:space="0" w:color="auto"/>
                                <w:left w:val="none" w:sz="0" w:space="0" w:color="auto"/>
                                <w:bottom w:val="none" w:sz="0" w:space="0" w:color="auto"/>
                                <w:right w:val="none" w:sz="0" w:space="0" w:color="auto"/>
                              </w:divBdr>
                              <w:divsChild>
                                <w:div w:id="1661739524">
                                  <w:marLeft w:val="0"/>
                                  <w:marRight w:val="0"/>
                                  <w:marTop w:val="0"/>
                                  <w:marBottom w:val="0"/>
                                  <w:divBdr>
                                    <w:top w:val="none" w:sz="0" w:space="0" w:color="auto"/>
                                    <w:left w:val="none" w:sz="0" w:space="0" w:color="auto"/>
                                    <w:bottom w:val="none" w:sz="0" w:space="0" w:color="auto"/>
                                    <w:right w:val="none" w:sz="0" w:space="0" w:color="auto"/>
                                  </w:divBdr>
                                  <w:divsChild>
                                    <w:div w:id="1349912282">
                                      <w:marLeft w:val="0"/>
                                      <w:marRight w:val="0"/>
                                      <w:marTop w:val="0"/>
                                      <w:marBottom w:val="0"/>
                                      <w:divBdr>
                                        <w:top w:val="none" w:sz="0" w:space="0" w:color="auto"/>
                                        <w:left w:val="none" w:sz="0" w:space="0" w:color="auto"/>
                                        <w:bottom w:val="none" w:sz="0" w:space="0" w:color="auto"/>
                                        <w:right w:val="none" w:sz="0" w:space="0" w:color="auto"/>
                                      </w:divBdr>
                                      <w:divsChild>
                                        <w:div w:id="1514564928">
                                          <w:marLeft w:val="0"/>
                                          <w:marRight w:val="0"/>
                                          <w:marTop w:val="0"/>
                                          <w:marBottom w:val="0"/>
                                          <w:divBdr>
                                            <w:top w:val="none" w:sz="0" w:space="0" w:color="auto"/>
                                            <w:left w:val="none" w:sz="0" w:space="0" w:color="auto"/>
                                            <w:bottom w:val="none" w:sz="0" w:space="0" w:color="auto"/>
                                            <w:right w:val="none" w:sz="0" w:space="0" w:color="auto"/>
                                          </w:divBdr>
                                          <w:divsChild>
                                            <w:div w:id="9308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adej.org/droit-des-mineurs" TargetMode="External"/><Relationship Id="rId3" Type="http://schemas.openxmlformats.org/officeDocument/2006/relationships/hyperlink" Target="https://www.europarl.europa.eu/doceo/document/CRE-9-2023-10-04-INT-3-031-0000_FR.html" TargetMode="External"/><Relationship Id="rId7" Type="http://schemas.openxmlformats.org/officeDocument/2006/relationships/hyperlink" Target="https://www.europarl.europa.eu/doceo/document/TA-9-2020-0361_FR.html" TargetMode="External"/><Relationship Id="rId2" Type="http://schemas.openxmlformats.org/officeDocument/2006/relationships/hyperlink" Target="https://missingmigrants.iom.int/fr/region/mediterranee" TargetMode="External"/><Relationship Id="rId1" Type="http://schemas.openxmlformats.org/officeDocument/2006/relationships/hyperlink" Target="https://european-union.europa.eu/principles-countries-history/key-facts-and-figures/life-eu_fr" TargetMode="External"/><Relationship Id="rId6" Type="http://schemas.openxmlformats.org/officeDocument/2006/relationships/hyperlink" Target="https://www.europarl.europa.eu/doceo/document/A-9-2020-0245_FR.html" TargetMode="External"/><Relationship Id="rId11" Type="http://schemas.openxmlformats.org/officeDocument/2006/relationships/hyperlink" Target="https://europa.eu/youreurope/business/human-resources/employment-contracts/teenage-workers/index_fr.htm" TargetMode="External"/><Relationship Id="rId5" Type="http://schemas.openxmlformats.org/officeDocument/2006/relationships/hyperlink" Target="https://www.iom.int/sites/g/files/tmzbdl486/files/our_work/ICP/IDM/IML3_fren.pdf" TargetMode="External"/><Relationship Id="rId10" Type="http://schemas.openxmlformats.org/officeDocument/2006/relationships/hyperlink" Target="https://eur-lex.europa.eu/FR/legal-content/summary/global-europe-the-eu-neighbourhood-development-and-international-cooperation-instrument.html" TargetMode="External"/><Relationship Id="rId4" Type="http://schemas.openxmlformats.org/officeDocument/2006/relationships/hyperlink" Target="https://www.reneweuropegroup.eu/fr/policies/2020-01-07/renew-europe-vision-for-asylum-and-migration" TargetMode="External"/><Relationship Id="rId9" Type="http://schemas.openxmlformats.org/officeDocument/2006/relationships/hyperlink" Target="https://www.reneweuropegroup.eu/fr/news/2023-06-14/safe-and-innovative-ai-rules-a-world-premier-made-in-europe"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E24B1-B031-EF44-8C51-7E2C4B34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1615</Words>
  <Characters>9209</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DESMARESCAUX Camille</cp:lastModifiedBy>
  <cp:revision>204</cp:revision>
  <dcterms:created xsi:type="dcterms:W3CDTF">2023-11-20T15:23:00Z</dcterms:created>
  <dcterms:modified xsi:type="dcterms:W3CDTF">2023-11-21T10:40:00Z</dcterms:modified>
</cp:coreProperties>
</file>